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jc w:val="center"/>
        <w:rPr>
          <w:sz w:val="20"/>
          <w:szCs w:val="20"/>
        </w:rPr>
      </w:pPr>
      <w:r>
        <w:rPr>
          <w:rFonts w:hint="eastAsia"/>
          <w:sz w:val="20"/>
          <w:szCs w:val="20"/>
        </w:rPr>
        <w:t>风险投资协议  详细内容</w:t>
      </w:r>
    </w:p>
    <w:p>
      <w:pPr>
        <w:pStyle w:val="15"/>
        <w:jc w:val="center"/>
      </w:pPr>
      <w:r>
        <w:rPr>
          <w:sz w:val="20"/>
          <w:szCs w:val="20"/>
        </w:rPr>
        <w:t>甲方 （</w:t>
      </w:r>
      <w:r>
        <w:rPr>
          <w:rFonts w:hint="eastAsia"/>
          <w:sz w:val="20"/>
          <w:szCs w:val="20"/>
        </w:rPr>
        <w:t>成都涌鑫科技有限公司</w:t>
      </w:r>
      <w:r>
        <w:rPr>
          <w:sz w:val="20"/>
          <w:szCs w:val="20"/>
        </w:rPr>
        <w:t>）</w:t>
        <w:br/>
        <w:br/>
        <w:t>和</w:t>
        <w:br/>
        <w:br/>
        <w:t>乙方 （VC）</w:t>
        <w:br/>
        <w:br/>
      </w:r>
      <w:r>
        <w:rPr>
          <w:rFonts w:ascii="华文新魏" w:eastAsia="华文新魏"/>
          <w:b/>
          <w:bCs/>
          <w:sz w:val="27"/>
          <w:szCs w:val="27"/>
        </w:rPr>
        <w:t>Investment  Term  Sheet</w:t>
      </w:r>
      <w:r>
        <w:rPr>
          <w:sz w:val="20"/>
          <w:szCs w:val="20"/>
        </w:rPr>
        <w:br/>
        <w:br/>
        <w:t>（投资意向书）</w:t>
        <w:br/>
        <w:br/>
        <w:t>20</w:t>
      </w:r>
      <w:r>
        <w:rPr>
          <w:rFonts w:hint="eastAsia"/>
          <w:sz w:val="20"/>
          <w:szCs w:val="20"/>
        </w:rPr>
        <w:t>16</w:t>
      </w:r>
      <w:r>
        <w:rPr>
          <w:sz w:val="20"/>
          <w:szCs w:val="20"/>
        </w:rPr>
        <w:t>年01月0</w:t>
      </w:r>
      <w:r>
        <w:rPr>
          <w:rFonts w:hint="eastAsia"/>
          <w:sz w:val="20"/>
          <w:szCs w:val="20"/>
        </w:rPr>
        <w:t>5</w:t>
      </w:r>
      <w:r>
        <w:rPr>
          <w:sz w:val="20"/>
          <w:szCs w:val="20"/>
        </w:rPr>
        <w:t>日</w:t>
      </w:r>
    </w:p>
    <w:p>
      <w:pPr>
        <w:pStyle w:val="15"/>
        <w:rPr>
          <w:sz w:val="20"/>
          <w:szCs w:val="20"/>
        </w:rPr>
      </w:pPr>
      <w:r>
        <w:rPr>
          <w:sz w:val="20"/>
          <w:szCs w:val="20"/>
        </w:rPr>
        <w:t>　　</w:t>
      </w:r>
      <w:r>
        <w:rPr>
          <w:b/>
          <w:bCs/>
          <w:sz w:val="20"/>
          <w:szCs w:val="20"/>
        </w:rPr>
        <w:t>被投公司简况</w:t>
      </w:r>
      <w:r>
        <w:rPr>
          <w:sz w:val="20"/>
          <w:szCs w:val="20"/>
        </w:rPr>
        <w:br/>
        <w:br/>
        <w:t>　　</w:t>
      </w:r>
      <w:r>
        <w:rPr>
          <w:rFonts w:hint="eastAsia"/>
          <w:sz w:val="20"/>
          <w:szCs w:val="20"/>
        </w:rPr>
        <w:t>成都涌鑫科技有限公司</w:t>
      </w:r>
      <w:r>
        <w:rPr>
          <w:sz w:val="20"/>
          <w:szCs w:val="20"/>
        </w:rPr>
        <w:t>(以下简称“甲方”或者“公司”) 是总部注册在</w:t>
      </w:r>
      <w:r>
        <w:rPr>
          <w:rFonts w:hint="eastAsia"/>
          <w:sz w:val="20"/>
          <w:szCs w:val="20"/>
        </w:rPr>
        <w:t>四川省成都市高新区的有限公司</w:t>
      </w:r>
      <w:r>
        <w:rPr>
          <w:sz w:val="20"/>
          <w:szCs w:val="20"/>
        </w:rPr>
        <w:t>，经营软件开发</w:t>
      </w:r>
      <w:r>
        <w:rPr>
          <w:rFonts w:hint="eastAsia"/>
          <w:sz w:val="20"/>
          <w:szCs w:val="20"/>
        </w:rPr>
        <w:t>、手机</w:t>
      </w:r>
      <w:r>
        <w:rPr>
          <w:sz w:val="20"/>
          <w:szCs w:val="20"/>
        </w:rPr>
        <w:t>应用</w:t>
      </w:r>
      <w:r>
        <w:rPr>
          <w:rFonts w:hint="eastAsia"/>
          <w:sz w:val="20"/>
          <w:szCs w:val="20"/>
        </w:rPr>
        <w:t>、网站开发</w:t>
      </w:r>
      <w:r>
        <w:rPr>
          <w:sz w:val="20"/>
          <w:szCs w:val="20"/>
        </w:rPr>
        <w:t>、</w:t>
      </w:r>
      <w:r>
        <w:rPr>
          <w:rFonts w:hint="eastAsia"/>
          <w:sz w:val="20"/>
          <w:szCs w:val="20"/>
        </w:rPr>
        <w:t>IT</w:t>
      </w:r>
      <w:r>
        <w:rPr>
          <w:sz w:val="20"/>
          <w:szCs w:val="20"/>
        </w:rPr>
        <w:t>外包和其他相关业务，当前阶段以新一代跨平台综合办公自动化《企友》为主要产品。总公司、子公司和关联企业的控股关系详细说明见附录一。</w:t>
        <w:br/>
        <w:br/>
        <w:br/>
        <w:t>　　</w:t>
      </w:r>
      <w:r>
        <w:rPr>
          <w:b/>
          <w:bCs/>
          <w:sz w:val="20"/>
          <w:szCs w:val="20"/>
        </w:rPr>
        <w:t>公司结构</w:t>
      </w:r>
      <w:r>
        <w:rPr>
          <w:sz w:val="20"/>
          <w:szCs w:val="20"/>
        </w:rPr>
        <w:br/>
        <w:br/>
        <w:t>　　甲方除了拥有在附录一中所示的公司股权外，没有拥有任何其他实体的股权或者债权凭证，也没有通过代理控制任何其他实体，也没有和其他实体有代持或其他法律形式的股权关系。</w:t>
        <w:br/>
        <w:br/>
        <w:br/>
        <w:t>　　</w:t>
      </w:r>
      <w:r>
        <w:rPr>
          <w:b/>
          <w:bCs/>
          <w:sz w:val="20"/>
          <w:szCs w:val="20"/>
        </w:rPr>
        <w:t>现有股东</w:t>
      </w:r>
      <w:r>
        <w:rPr>
          <w:sz w:val="20"/>
          <w:szCs w:val="20"/>
        </w:rPr>
        <w:br/>
        <w:br/>
        <w:t>　　目前甲方的股东组成如下表所示：</w:t>
        <w:br/>
        <w:br/>
        <w:t>　　股东名单          股权类型        股份        股份比例</w:t>
        <w:br/>
        <w:br/>
        <w:t xml:space="preserve">　　文渝鑫／CEO         普通股         3,192,000   </w:t>
      </w:r>
      <w:r>
        <w:rPr>
          <w:rFonts w:hint="eastAsia"/>
          <w:sz w:val="20"/>
          <w:szCs w:val="20"/>
        </w:rPr>
        <w:t xml:space="preserve">       84</w:t>
      </w:r>
      <w:r>
        <w:rPr>
          <w:sz w:val="20"/>
          <w:szCs w:val="20"/>
        </w:rPr>
        <w:t>%</w:t>
        <w:br/>
        <w:br/>
        <w:t>　　刘  君／C</w:t>
      </w:r>
      <w:r>
        <w:rPr>
          <w:rFonts w:hint="eastAsia"/>
          <w:sz w:val="20"/>
          <w:szCs w:val="20"/>
        </w:rPr>
        <w:t>Q</w:t>
      </w:r>
      <w:r>
        <w:rPr>
          <w:sz w:val="20"/>
          <w:szCs w:val="20"/>
        </w:rPr>
        <w:t xml:space="preserve">O         普通股         608,000   </w:t>
      </w:r>
      <w:r>
        <w:rPr>
          <w:rFonts w:hint="eastAsia"/>
          <w:sz w:val="20"/>
          <w:szCs w:val="20"/>
        </w:rPr>
        <w:t xml:space="preserve">       16</w:t>
      </w:r>
      <w:r>
        <w:rPr>
          <w:sz w:val="20"/>
          <w:szCs w:val="20"/>
        </w:rPr>
        <w:t>%</w:t>
        <w:br/>
        <w:br/>
        <w:t>　　-----------------------------------------------------</w:t>
        <w:br/>
        <w:t>　　合计：                      </w:t>
      </w:r>
      <w:r>
        <w:rPr>
          <w:rFonts w:hint="eastAsia"/>
          <w:sz w:val="20"/>
          <w:szCs w:val="20"/>
        </w:rPr>
        <w:t xml:space="preserve">  </w:t>
      </w:r>
      <w:r>
        <w:rPr>
          <w:sz w:val="20"/>
          <w:szCs w:val="20"/>
        </w:rPr>
        <w:t xml:space="preserve">3,800,000  </w:t>
      </w:r>
      <w:r>
        <w:rPr>
          <w:rFonts w:hint="eastAsia"/>
          <w:sz w:val="20"/>
          <w:szCs w:val="20"/>
        </w:rPr>
        <w:t xml:space="preserve">        </w:t>
      </w:r>
      <w:r>
        <w:rPr>
          <w:sz w:val="20"/>
          <w:szCs w:val="20"/>
        </w:rPr>
        <w:t>100%</w:t>
        <w:br/>
        <w:br/>
        <w:br/>
        <w:t>　　</w:t>
      </w:r>
    </w:p>
    <w:p>
      <w:pPr>
        <w:pStyle w:val="15"/>
        <w:rPr>
          <w:sz w:val="20"/>
          <w:szCs w:val="20"/>
        </w:rPr>
      </w:pPr>
      <w:r>
        <w:rPr>
          <w:b/>
          <w:bCs/>
          <w:sz w:val="20"/>
          <w:szCs w:val="20"/>
        </w:rPr>
        <w:t>投资人／投资金额</w:t>
      </w:r>
      <w:r>
        <w:rPr>
          <w:sz w:val="20"/>
          <w:szCs w:val="20"/>
        </w:rPr>
        <w:t xml:space="preserve"> </w:t>
        <w:br/>
        <w:br/>
        <w:t>　　某某VC（乙方）将作为本轮投资的领投方（lead investor）将投资：</w:t>
      </w:r>
      <w:r>
        <w:rPr>
          <w:rFonts w:hint="eastAsia"/>
          <w:sz w:val="20"/>
          <w:szCs w:val="20"/>
        </w:rPr>
        <w:t xml:space="preserve"> </w:t>
      </w:r>
      <w:r>
        <w:rPr>
          <w:sz w:val="20"/>
          <w:szCs w:val="20"/>
        </w:rPr>
        <w:t>人民币120万</w:t>
        <w:br/>
        <w:br/>
        <w:t>　　跟随投资方</w:t>
      </w:r>
      <w:r>
        <w:rPr>
          <w:rFonts w:hint="eastAsia"/>
          <w:sz w:val="20"/>
          <w:szCs w:val="20"/>
        </w:rPr>
        <w:t>（某VD）</w:t>
      </w:r>
      <w:r>
        <w:rPr>
          <w:sz w:val="20"/>
          <w:szCs w:val="20"/>
        </w:rPr>
        <w:t>经甲方和乙方同意，将投资：       </w:t>
      </w:r>
      <w:r>
        <w:rPr>
          <w:rFonts w:hint="eastAsia"/>
          <w:sz w:val="20"/>
          <w:szCs w:val="20"/>
        </w:rPr>
        <w:t xml:space="preserve">    </w:t>
      </w:r>
      <w:r>
        <w:rPr>
          <w:sz w:val="20"/>
          <w:szCs w:val="20"/>
        </w:rPr>
        <w:t>人民币80万</w:t>
        <w:br/>
        <w:br/>
        <w:t>　　----------------------------------------------------------------------</w:t>
        <w:br/>
        <w:t>　　投资总</w:t>
      </w:r>
      <w:r>
        <w:rPr>
          <w:rFonts w:hint="eastAsia"/>
          <w:sz w:val="20"/>
          <w:szCs w:val="20"/>
        </w:rPr>
        <w:t xml:space="preserve">额                                                      </w:t>
      </w:r>
      <w:r>
        <w:rPr>
          <w:sz w:val="20"/>
          <w:szCs w:val="20"/>
        </w:rPr>
        <w:t>人民币200万</w:t>
        <w:br/>
        <w:br/>
        <w:t>　　上述提到的所有投资人以下将统称为投资人或者A轮投资人。</w:t>
        <w:br/>
        <w:br/>
        <w:t xml:space="preserve">　　投资总额200万人民币（“投资总额”）将用来购买甲方发行的A轮优先股股权。 </w:t>
        <w:br/>
        <w:br/>
        <w:t>　　本投资意向书所描述的交易，在下文中称为“投资”。</w:t>
        <w:br/>
        <w:br/>
        <w:br/>
        <w:t>　　</w:t>
      </w:r>
      <w:r>
        <w:rPr>
          <w:b/>
          <w:bCs/>
          <w:sz w:val="20"/>
          <w:szCs w:val="20"/>
        </w:rPr>
        <w:t>投资款用途</w:t>
      </w:r>
      <w:r>
        <w:rPr>
          <w:sz w:val="20"/>
          <w:szCs w:val="20"/>
        </w:rPr>
        <w:br/>
        <w:br/>
        <w:t>　　产品研发、市场营销     60万</w:t>
        <w:br/>
        <w:br/>
        <w:t>　　基础设施升级     25万</w:t>
        <w:br/>
        <w:br/>
        <w:t>　　全国渠道代理     </w:t>
      </w:r>
      <w:r>
        <w:rPr>
          <w:rFonts w:hint="eastAsia"/>
          <w:sz w:val="20"/>
          <w:szCs w:val="20"/>
        </w:rPr>
        <w:t xml:space="preserve"> </w:t>
      </w:r>
      <w:r>
        <w:rPr>
          <w:sz w:val="20"/>
          <w:szCs w:val="20"/>
        </w:rPr>
        <w:t>45万</w:t>
        <w:br/>
        <w:br/>
        <w:t>　　运营资金       </w:t>
      </w:r>
      <w:r>
        <w:rPr>
          <w:rFonts w:hint="eastAsia"/>
          <w:sz w:val="20"/>
          <w:szCs w:val="20"/>
        </w:rPr>
        <w:t xml:space="preserve"> </w:t>
      </w:r>
      <w:r>
        <w:rPr>
          <w:sz w:val="20"/>
          <w:szCs w:val="20"/>
        </w:rPr>
        <w:t>45万</w:t>
        <w:br/>
        <w:br/>
        <w:t>　　其它          25万</w:t>
        <w:br/>
        <w:br/>
        <w:t>　　总额        </w:t>
      </w:r>
      <w:r>
        <w:rPr>
          <w:rFonts w:hint="eastAsia"/>
          <w:sz w:val="20"/>
          <w:szCs w:val="20"/>
        </w:rPr>
        <w:t xml:space="preserve"> </w:t>
      </w:r>
      <w:r>
        <w:rPr>
          <w:sz w:val="20"/>
          <w:szCs w:val="20"/>
        </w:rPr>
        <w:t xml:space="preserve"> 200万</w:t>
        <w:br/>
        <w:br/>
        <w:t>　　详细投资款用途清单请见附录二。</w:t>
        <w:br/>
        <w:br/>
        <w:br/>
        <w:t>　　</w:t>
      </w:r>
      <w:r>
        <w:rPr>
          <w:b/>
          <w:bCs/>
          <w:sz w:val="20"/>
          <w:szCs w:val="20"/>
        </w:rPr>
        <w:t>投资估值方法</w:t>
      </w:r>
      <w:r>
        <w:rPr>
          <w:sz w:val="20"/>
          <w:szCs w:val="20"/>
        </w:rPr>
        <w:br/>
        <w:br/>
        <w:t>　　公司投资前估值为人民币800万元，在必要情况下，根据下文中的“投资估值调整”条款进行相应调整。本次投资将购买公司200,000 股A轮优先股股份，每股估值</w:t>
      </w:r>
      <w:r>
        <w:rPr>
          <w:rFonts w:hint="eastAsia"/>
          <w:sz w:val="20"/>
          <w:szCs w:val="20"/>
        </w:rPr>
        <w:t>10</w:t>
      </w:r>
      <w:r>
        <w:rPr>
          <w:sz w:val="20"/>
          <w:szCs w:val="20"/>
        </w:rPr>
        <w:t>人民币，占公司融资后总股本的</w:t>
      </w:r>
      <w:r>
        <w:rPr>
          <w:rFonts w:hint="eastAsia"/>
          <w:sz w:val="20"/>
          <w:szCs w:val="20"/>
        </w:rPr>
        <w:t>20</w:t>
      </w:r>
      <w:r>
        <w:rPr>
          <w:sz w:val="20"/>
          <w:szCs w:val="20"/>
        </w:rPr>
        <w:t>%。</w:t>
        <w:br/>
        <w:br/>
        <w:br/>
        <w:t>　　</w:t>
      </w:r>
      <w:r>
        <w:rPr>
          <w:b/>
          <w:bCs/>
          <w:sz w:val="20"/>
          <w:szCs w:val="20"/>
        </w:rPr>
        <w:t>公司员工持股计划和管理层股权激励方案</w:t>
      </w:r>
      <w:r>
        <w:rPr>
          <w:sz w:val="20"/>
          <w:szCs w:val="20"/>
        </w:rPr>
        <w:br/>
        <w:br/>
        <w:t>　　现在股东同意公司将发行最多40,</w:t>
      </w:r>
      <w:r>
        <w:rPr>
          <w:rFonts w:hint="eastAsia"/>
          <w:sz w:val="20"/>
          <w:szCs w:val="20"/>
        </w:rPr>
        <w:t>000</w:t>
      </w:r>
      <w:r>
        <w:rPr>
          <w:sz w:val="20"/>
          <w:szCs w:val="20"/>
        </w:rPr>
        <w:t>股期权（占完全稀释后公司总股本的4%）给管理团队。公司员工持股计划将在投资完成前实施，（投资前分别占比：79.8%,15.2%,5%）。</w:t>
        <w:br/>
        <w:br/>
        <w:t>　　所有授予管理团队的期权和员工通过持股计划所获得的期权都必须在</w:t>
      </w:r>
      <w:r>
        <w:rPr>
          <w:rFonts w:hint="eastAsia"/>
          <w:sz w:val="20"/>
          <w:szCs w:val="20"/>
        </w:rPr>
        <w:t>2</w:t>
      </w:r>
      <w:r>
        <w:rPr>
          <w:sz w:val="20"/>
          <w:szCs w:val="20"/>
        </w:rPr>
        <w:t>年内每月按比例兑现，并按照获得期权时的公允市场价格执行。</w:t>
        <w:br/>
        <w:br/>
        <w:br/>
        <w:t>　　</w:t>
      </w:r>
      <w:r>
        <w:rPr>
          <w:b/>
          <w:bCs/>
          <w:sz w:val="20"/>
          <w:szCs w:val="20"/>
        </w:rPr>
        <w:t>A轮投资后的股权结构</w:t>
      </w:r>
      <w:r>
        <w:rPr>
          <w:sz w:val="20"/>
          <w:szCs w:val="20"/>
        </w:rPr>
        <w:br/>
        <w:br/>
        <w:t>　　A轮投资后公司（员工持股计划执行后）的股权结构如下表所示：</w:t>
        <w:br/>
        <w:br/>
        <w:t>　　股东名单        股权类型    股份      股份比例</w:t>
        <w:br/>
        <w:br/>
        <w:t xml:space="preserve">　　文渝鑫         </w:t>
      </w:r>
      <w:r>
        <w:rPr>
          <w:rFonts w:hint="eastAsia"/>
          <w:sz w:val="20"/>
          <w:szCs w:val="20"/>
        </w:rPr>
        <w:tab/>
      </w:r>
      <w:r>
        <w:rPr>
          <w:sz w:val="20"/>
          <w:szCs w:val="20"/>
        </w:rPr>
        <w:t xml:space="preserve">普通股    6,384,000   </w:t>
      </w:r>
      <w:r>
        <w:rPr>
          <w:rFonts w:hint="eastAsia"/>
          <w:sz w:val="20"/>
          <w:szCs w:val="20"/>
        </w:rPr>
        <w:t xml:space="preserve">      </w:t>
      </w:r>
      <w:r>
        <w:rPr>
          <w:sz w:val="20"/>
          <w:szCs w:val="20"/>
        </w:rPr>
        <w:t>63.84%</w:t>
        <w:br/>
        <w:br/>
        <w:t xml:space="preserve">　　刘  君         </w:t>
      </w:r>
      <w:r>
        <w:rPr>
          <w:rFonts w:hint="eastAsia"/>
          <w:sz w:val="20"/>
          <w:szCs w:val="20"/>
        </w:rPr>
        <w:tab/>
      </w:r>
      <w:r>
        <w:rPr>
          <w:sz w:val="20"/>
          <w:szCs w:val="20"/>
        </w:rPr>
        <w:t xml:space="preserve">普通股    1,216,000   </w:t>
      </w:r>
      <w:r>
        <w:rPr>
          <w:rFonts w:hint="eastAsia"/>
          <w:sz w:val="20"/>
          <w:szCs w:val="20"/>
        </w:rPr>
        <w:t xml:space="preserve">       </w:t>
      </w:r>
      <w:r>
        <w:rPr>
          <w:sz w:val="20"/>
          <w:szCs w:val="20"/>
        </w:rPr>
        <w:t>12.16%</w:t>
        <w:br/>
        <w:br/>
        <w:t>　　员工持股         普通股    40,</w:t>
      </w:r>
      <w:r>
        <w:rPr>
          <w:rFonts w:hint="eastAsia"/>
          <w:sz w:val="20"/>
          <w:szCs w:val="20"/>
        </w:rPr>
        <w:t>000</w:t>
      </w:r>
      <w:r>
        <w:rPr>
          <w:sz w:val="20"/>
          <w:szCs w:val="20"/>
        </w:rPr>
        <w:t xml:space="preserve">    </w:t>
      </w:r>
      <w:r>
        <w:rPr>
          <w:rFonts w:hint="eastAsia"/>
          <w:sz w:val="20"/>
          <w:szCs w:val="20"/>
        </w:rPr>
        <w:t xml:space="preserve">    </w:t>
      </w:r>
      <w:r>
        <w:rPr>
          <w:sz w:val="20"/>
          <w:szCs w:val="20"/>
        </w:rPr>
        <w:t>4.00%</w:t>
        <w:br/>
        <w:br/>
        <w:t xml:space="preserve">　　A轮投资人（领投方）  </w:t>
      </w:r>
      <w:r>
        <w:rPr>
          <w:rFonts w:hint="eastAsia"/>
          <w:sz w:val="20"/>
          <w:szCs w:val="20"/>
        </w:rPr>
        <w:t xml:space="preserve">    </w:t>
      </w:r>
      <w:r>
        <w:rPr>
          <w:sz w:val="20"/>
          <w:szCs w:val="20"/>
        </w:rPr>
        <w:t>优先股   </w:t>
      </w:r>
      <w:r>
        <w:rPr>
          <w:rFonts w:hint="eastAsia"/>
          <w:sz w:val="20"/>
          <w:szCs w:val="20"/>
        </w:rPr>
        <w:t xml:space="preserve"> </w:t>
      </w:r>
      <w:r>
        <w:rPr>
          <w:sz w:val="20"/>
          <w:szCs w:val="20"/>
        </w:rPr>
        <w:t>120,0</w:t>
      </w:r>
      <w:r>
        <w:rPr>
          <w:rFonts w:hint="eastAsia"/>
          <w:sz w:val="20"/>
          <w:szCs w:val="20"/>
        </w:rPr>
        <w:t>00</w:t>
      </w:r>
      <w:r>
        <w:rPr>
          <w:sz w:val="20"/>
          <w:szCs w:val="20"/>
        </w:rPr>
        <w:t xml:space="preserve">    </w:t>
      </w:r>
      <w:r>
        <w:rPr>
          <w:rFonts w:hint="eastAsia"/>
          <w:sz w:val="20"/>
          <w:szCs w:val="20"/>
        </w:rPr>
        <w:t xml:space="preserve">    1</w:t>
      </w:r>
      <w:r>
        <w:rPr>
          <w:sz w:val="20"/>
          <w:szCs w:val="20"/>
        </w:rPr>
        <w:t>2</w:t>
      </w:r>
      <w:r>
        <w:rPr>
          <w:rFonts w:hint="eastAsia"/>
          <w:sz w:val="20"/>
          <w:szCs w:val="20"/>
        </w:rPr>
        <w:t>.</w:t>
      </w:r>
      <w:r>
        <w:rPr>
          <w:sz w:val="20"/>
          <w:szCs w:val="20"/>
        </w:rPr>
        <w:t>00%</w:t>
        <w:br/>
        <w:br/>
        <w:t xml:space="preserve">　　A轮投资人（跟投方）  </w:t>
      </w:r>
      <w:r>
        <w:rPr>
          <w:rFonts w:hint="eastAsia"/>
          <w:sz w:val="20"/>
          <w:szCs w:val="20"/>
        </w:rPr>
        <w:t xml:space="preserve">    </w:t>
      </w:r>
      <w:r>
        <w:rPr>
          <w:sz w:val="20"/>
          <w:szCs w:val="20"/>
        </w:rPr>
        <w:t>优先股   </w:t>
      </w:r>
      <w:r>
        <w:rPr>
          <w:rFonts w:hint="eastAsia"/>
          <w:sz w:val="20"/>
          <w:szCs w:val="20"/>
        </w:rPr>
        <w:t xml:space="preserve">  </w:t>
      </w:r>
      <w:r>
        <w:rPr>
          <w:sz w:val="20"/>
          <w:szCs w:val="20"/>
        </w:rPr>
        <w:t>80,0</w:t>
      </w:r>
      <w:r>
        <w:rPr>
          <w:rFonts w:hint="eastAsia"/>
          <w:sz w:val="20"/>
          <w:szCs w:val="20"/>
        </w:rPr>
        <w:t>00</w:t>
      </w:r>
      <w:r>
        <w:rPr>
          <w:sz w:val="20"/>
          <w:szCs w:val="20"/>
        </w:rPr>
        <w:t xml:space="preserve">    </w:t>
      </w:r>
      <w:r>
        <w:rPr>
          <w:rFonts w:hint="eastAsia"/>
          <w:sz w:val="20"/>
          <w:szCs w:val="20"/>
        </w:rPr>
        <w:tab/>
        <w:t xml:space="preserve">  </w:t>
      </w:r>
      <w:r>
        <w:rPr>
          <w:sz w:val="20"/>
          <w:szCs w:val="20"/>
        </w:rPr>
        <w:t>8</w:t>
      </w:r>
      <w:r>
        <w:rPr>
          <w:rFonts w:hint="eastAsia"/>
          <w:sz w:val="20"/>
          <w:szCs w:val="20"/>
        </w:rPr>
        <w:t>.</w:t>
      </w:r>
      <w:r>
        <w:rPr>
          <w:sz w:val="20"/>
          <w:szCs w:val="20"/>
        </w:rPr>
        <w:t>00%</w:t>
        <w:br/>
        <w:br/>
        <w:t>　　----------------------------------------------------</w:t>
        <w:br/>
        <w:t>　　合计：                 10,000</w:t>
      </w:r>
      <w:r>
        <w:rPr>
          <w:rFonts w:hint="eastAsia"/>
          <w:sz w:val="20"/>
          <w:szCs w:val="20"/>
        </w:rPr>
        <w:t>,000</w:t>
      </w:r>
      <w:r>
        <w:rPr>
          <w:sz w:val="20"/>
          <w:szCs w:val="20"/>
        </w:rPr>
        <w:t xml:space="preserve">    </w:t>
      </w:r>
      <w:r>
        <w:rPr>
          <w:rFonts w:hint="eastAsia"/>
          <w:sz w:val="20"/>
          <w:szCs w:val="20"/>
        </w:rPr>
        <w:tab/>
        <w:tab/>
      </w:r>
      <w:r>
        <w:rPr>
          <w:sz w:val="20"/>
          <w:szCs w:val="20"/>
        </w:rPr>
        <w:t>100%</w:t>
        <w:br/>
        <w:br/>
        <w:br/>
        <w:t>　　</w:t>
      </w:r>
      <w:r>
        <w:rPr>
          <w:b/>
          <w:bCs/>
          <w:sz w:val="20"/>
          <w:szCs w:val="20"/>
        </w:rPr>
        <w:t>投资估值调整</w:t>
      </w:r>
      <w:r>
        <w:rPr>
          <w:sz w:val="20"/>
          <w:szCs w:val="20"/>
        </w:rPr>
        <w:br/>
        <w:br/>
        <w:t>　　公司的初始估值（A轮投资前）将根据公司业绩指标进行如下调整：</w:t>
        <w:br/>
        <w:t>　　</w:t>
        <w:br/>
        <w:t>　　A轮投资人和公司将共同指定一家</w:t>
      </w:r>
      <w:r>
        <w:rPr>
          <w:rFonts w:hint="eastAsia"/>
          <w:sz w:val="20"/>
          <w:szCs w:val="20"/>
        </w:rPr>
        <w:t>符合要求的</w:t>
      </w:r>
      <w:r>
        <w:rPr>
          <w:sz w:val="20"/>
          <w:szCs w:val="20"/>
        </w:rPr>
        <w:t>审计公司（简称审计公司）来对公司201</w:t>
      </w:r>
      <w:r>
        <w:rPr>
          <w:rFonts w:hint="eastAsia"/>
          <w:sz w:val="20"/>
          <w:szCs w:val="20"/>
        </w:rPr>
        <w:t>5</w:t>
      </w:r>
      <w:r>
        <w:rPr>
          <w:sz w:val="20"/>
          <w:szCs w:val="20"/>
        </w:rPr>
        <w:t>年的税后净利（NPAT）按照国际财务报告准则（IFRS）进行审计。经IFRS审计的经常性项目的税后净利（扣除非经常性项目和特殊项目）称为“201</w:t>
      </w:r>
      <w:r>
        <w:rPr>
          <w:rFonts w:hint="eastAsia"/>
          <w:sz w:val="20"/>
          <w:szCs w:val="20"/>
        </w:rPr>
        <w:t>5</w:t>
      </w:r>
      <w:r>
        <w:rPr>
          <w:sz w:val="20"/>
          <w:szCs w:val="20"/>
        </w:rPr>
        <w:t>年经审计税后净利”。</w:t>
        <w:br/>
        <w:br/>
        <w:t>　　如果公司“201</w:t>
      </w:r>
      <w:r>
        <w:rPr>
          <w:rFonts w:hint="eastAsia"/>
          <w:sz w:val="20"/>
          <w:szCs w:val="20"/>
        </w:rPr>
        <w:t>5</w:t>
      </w:r>
      <w:r>
        <w:rPr>
          <w:sz w:val="20"/>
          <w:szCs w:val="20"/>
        </w:rPr>
        <w:t>年经审计税后净利”低于人民币</w:t>
      </w:r>
      <w:r>
        <w:rPr>
          <w:rFonts w:hint="eastAsia"/>
          <w:sz w:val="20"/>
          <w:szCs w:val="20"/>
        </w:rPr>
        <w:t>1</w:t>
      </w:r>
      <w:r>
        <w:rPr>
          <w:sz w:val="20"/>
          <w:szCs w:val="20"/>
        </w:rPr>
        <w:t>0万（“201</w:t>
      </w:r>
      <w:r>
        <w:rPr>
          <w:rFonts w:hint="eastAsia"/>
          <w:sz w:val="20"/>
          <w:szCs w:val="20"/>
        </w:rPr>
        <w:t>5</w:t>
      </w:r>
      <w:r>
        <w:rPr>
          <w:sz w:val="20"/>
          <w:szCs w:val="20"/>
        </w:rPr>
        <w:t>年预测的税后净利”），公司的投资估值将按下述方法进行调整：</w:t>
        <w:br/>
        <w:br/>
        <w:t>　　201</w:t>
      </w:r>
      <w:r>
        <w:rPr>
          <w:rFonts w:hint="eastAsia"/>
          <w:sz w:val="20"/>
          <w:szCs w:val="20"/>
        </w:rPr>
        <w:t>5</w:t>
      </w:r>
      <w:r>
        <w:rPr>
          <w:sz w:val="20"/>
          <w:szCs w:val="20"/>
        </w:rPr>
        <w:t>年调整后的投资前估值＝初始投资前估值×201</w:t>
      </w:r>
      <w:r>
        <w:rPr>
          <w:rFonts w:hint="eastAsia"/>
          <w:sz w:val="20"/>
          <w:szCs w:val="20"/>
        </w:rPr>
        <w:t>5</w:t>
      </w:r>
      <w:r>
        <w:rPr>
          <w:sz w:val="20"/>
          <w:szCs w:val="20"/>
        </w:rPr>
        <w:t>年经审计税后净利÷201</w:t>
      </w:r>
      <w:r>
        <w:rPr>
          <w:rFonts w:hint="eastAsia"/>
          <w:sz w:val="20"/>
          <w:szCs w:val="20"/>
        </w:rPr>
        <w:t>5</w:t>
      </w:r>
      <w:r>
        <w:rPr>
          <w:sz w:val="20"/>
          <w:szCs w:val="20"/>
        </w:rPr>
        <w:t>年预测的税后净利。</w:t>
        <w:br/>
        <w:br/>
        <w:t>　　A轮投资人在公司的股份也将根据投资估值调整进行相应的调整。投资估值调整将在出具审计报告后1个月内执行并在公司按比例给A轮投资人发新的股权凭据以后立刻正式生效。</w:t>
        <w:br/>
        <w:br/>
        <w:t>　　公司估值依据公司的财务预测，详见附录三。</w:t>
        <w:br/>
        <w:br/>
        <w:br/>
        <w:t>　　</w:t>
      </w:r>
      <w:r>
        <w:rPr>
          <w:b/>
          <w:bCs/>
          <w:sz w:val="20"/>
          <w:szCs w:val="20"/>
        </w:rPr>
        <w:t>反稀释条款</w:t>
      </w:r>
      <w:r>
        <w:rPr>
          <w:sz w:val="20"/>
          <w:szCs w:val="20"/>
        </w:rPr>
        <w:br/>
        <w:br/>
        <w:t>　　A轮投资人有权按比例参与公司未来所有的股票发行（或者有权获得这些有价证券或者可转股权凭证或者可兑换股票）；</w:t>
        <w:br/>
        <w:br/>
        <w:t>　　在没有获得A轮投资人同意的情况下，公司新发行的股价不能低于A轮投资人购买时股价。在新发行股票或者权益性工具价格低于A轮投资人的购买价格时，A轮优先股转换价格将根据棘轮条款（ratchet）进行调整。</w:t>
        <w:br/>
        <w:br/>
        <w:br/>
        <w:t>　　</w:t>
      </w:r>
      <w:r>
        <w:rPr>
          <w:b/>
          <w:bCs/>
          <w:sz w:val="20"/>
          <w:szCs w:val="20"/>
        </w:rPr>
        <w:t>资本事件（Capital Event）</w:t>
      </w:r>
      <w:r>
        <w:rPr>
          <w:sz w:val="20"/>
          <w:szCs w:val="20"/>
        </w:rPr>
        <w:br/>
        <w:br/>
        <w:t>　　“资本事件”是指一次有效上市（请见下面条款的定义）或者公司的并购出售。</w:t>
        <w:br/>
        <w:br/>
        <w:br/>
        <w:t>　　</w:t>
      </w:r>
      <w:r>
        <w:rPr>
          <w:b/>
          <w:bCs/>
          <w:sz w:val="20"/>
          <w:szCs w:val="20"/>
        </w:rPr>
        <w:t>有效上市</w:t>
      </w:r>
      <w:r>
        <w:rPr>
          <w:sz w:val="20"/>
          <w:szCs w:val="20"/>
        </w:rPr>
        <w:br/>
        <w:br/>
        <w:t>　　所谓的“有效上市”必须至少满足如下标准：</w:t>
        <w:br/>
        <w:br/>
        <w:t>　　1. 公司达到了国际认可的股票交易市场的基本上市要求；</w:t>
        <w:br/>
        <w:br/>
        <w:t>　　2. 公司上市前的估值至少达到5000万人民币；</w:t>
        <w:br/>
        <w:br/>
        <w:t>　　3. 公司至少募集2000万人民币</w:t>
      </w:r>
      <w:r>
        <w:rPr>
          <w:rFonts w:hint="eastAsia"/>
          <w:sz w:val="20"/>
          <w:szCs w:val="20"/>
        </w:rPr>
        <w:t>；</w:t>
      </w:r>
    </w:p>
    <w:p>
      <w:pPr>
        <w:pStyle w:val="15"/>
        <w:ind w:firstLine="420"/>
        <w:rPr>
          <w:sz w:val="20"/>
          <w:szCs w:val="20"/>
        </w:rPr>
      </w:pPr>
      <w:r>
        <w:rPr>
          <w:rFonts w:hint="eastAsia"/>
          <w:sz w:val="20"/>
          <w:szCs w:val="20"/>
        </w:rPr>
        <w:t>4</w:t>
      </w:r>
      <w:r>
        <w:rPr>
          <w:sz w:val="20"/>
          <w:szCs w:val="20"/>
        </w:rPr>
        <w:t>. 开业时间在3年以上,最近3年连续盈利</w:t>
      </w:r>
      <w:r>
        <w:rPr>
          <w:rFonts w:hint="eastAsia"/>
          <w:sz w:val="20"/>
          <w:szCs w:val="20"/>
        </w:rPr>
        <w:t>。</w:t>
      </w:r>
      <w:r>
        <w:rPr>
          <w:sz w:val="20"/>
          <w:szCs w:val="20"/>
        </w:rPr>
        <w:br/>
        <w:br/>
        <w:br/>
        <w:t>　　</w:t>
      </w:r>
      <w:r>
        <w:rPr>
          <w:b/>
          <w:bCs/>
          <w:sz w:val="20"/>
          <w:szCs w:val="20"/>
        </w:rPr>
        <w:t>出售选择权（Put Option）</w:t>
      </w:r>
      <w:r>
        <w:rPr>
          <w:sz w:val="20"/>
          <w:szCs w:val="20"/>
        </w:rPr>
        <w:br/>
        <w:br/>
        <w:t>　　如果公司在本轮投资结束后48个月内</w:t>
      </w:r>
      <w:r>
        <w:rPr>
          <w:rFonts w:hint="eastAsia"/>
          <w:sz w:val="20"/>
          <w:szCs w:val="20"/>
        </w:rPr>
        <w:t>未实现预期盈利水平</w:t>
      </w:r>
      <w:r>
        <w:rPr>
          <w:sz w:val="20"/>
          <w:szCs w:val="20"/>
        </w:rPr>
        <w:t xml:space="preserve">，A轮投资人将有权要求公司——在该情况下，公司也有义务——用现金回购部分或者全部的A轮投资人持有的优先股，回购的数量必须大于或等于： </w:t>
        <w:br/>
        <w:br/>
        <w:t xml:space="preserve">　　1. A轮投资人按比例应获得的前一个财年经审计的税后净利部分，或者 </w:t>
        <w:br/>
        <w:br/>
        <w:t>　　2.从</w:t>
      </w:r>
      <w:r>
        <w:rPr>
          <w:rFonts w:hint="eastAsia"/>
          <w:sz w:val="20"/>
          <w:szCs w:val="20"/>
        </w:rPr>
        <w:t>起始投资日到</w:t>
      </w:r>
      <w:r>
        <w:rPr>
          <w:sz w:val="20"/>
          <w:szCs w:val="20"/>
        </w:rPr>
        <w:t>本轮投资完成之日起按照</w:t>
      </w:r>
      <w:r>
        <w:rPr>
          <w:rFonts w:hint="eastAsia"/>
          <w:sz w:val="20"/>
          <w:szCs w:val="20"/>
        </w:rPr>
        <w:t>5</w:t>
      </w:r>
      <w:r>
        <w:rPr>
          <w:sz w:val="20"/>
          <w:szCs w:val="20"/>
        </w:rPr>
        <w:t>%的（IRR）实现的收益总和。</w:t>
        <w:br/>
      </w:r>
    </w:p>
    <w:p>
      <w:pPr>
        <w:pStyle w:val="15"/>
        <w:ind w:firstLine="420"/>
        <w:rPr>
          <w:sz w:val="20"/>
          <w:szCs w:val="20"/>
        </w:rPr>
      </w:pPr>
      <w:r>
        <w:rPr>
          <w:rFonts w:hint="eastAsia"/>
          <w:sz w:val="20"/>
          <w:szCs w:val="20"/>
        </w:rPr>
        <w:t>由于本轮属于风险投资，因此A轮投资人需要承担相应的风险，在出售收益上会进行部分限制，本金用于项目开发，不计入回购款中。</w:t>
      </w:r>
      <w:r>
        <w:rPr>
          <w:sz w:val="20"/>
          <w:szCs w:val="20"/>
        </w:rPr>
        <w:br/>
        <w:br/>
        <w:t>　　</w:t>
      </w:r>
      <w:r>
        <w:rPr>
          <w:b/>
          <w:bCs/>
          <w:sz w:val="20"/>
          <w:szCs w:val="20"/>
        </w:rPr>
        <w:t>拒绝上市后的出售选择权</w:t>
      </w:r>
      <w:r>
        <w:rPr>
          <w:sz w:val="20"/>
          <w:szCs w:val="20"/>
        </w:rPr>
        <w:br/>
        <w:br/>
        <w:t>　　</w:t>
      </w:r>
      <w:r>
        <w:rPr>
          <w:rFonts w:hint="eastAsia"/>
          <w:sz w:val="20"/>
          <w:szCs w:val="20"/>
        </w:rPr>
        <w:t>本轮投资不涉及上市，因此不涉及此条款。如果以后有涉及上市，按照如下方案执行：</w:t>
      </w:r>
    </w:p>
    <w:p>
      <w:pPr>
        <w:pStyle w:val="15"/>
        <w:ind w:firstLine="420"/>
        <w:rPr>
          <w:sz w:val="20"/>
          <w:szCs w:val="20"/>
        </w:rPr>
      </w:pPr>
      <w:r>
        <w:rPr>
          <w:rFonts w:hint="eastAsia"/>
          <w:sz w:val="20"/>
          <w:szCs w:val="20"/>
        </w:rPr>
        <w:t>上市</w:t>
      </w:r>
      <w:r>
        <w:rPr>
          <w:sz w:val="20"/>
          <w:szCs w:val="20"/>
        </w:rPr>
        <w:t>投资完成后</w:t>
      </w:r>
      <w:r>
        <w:rPr>
          <w:rFonts w:hint="eastAsia"/>
          <w:sz w:val="20"/>
          <w:szCs w:val="20"/>
        </w:rPr>
        <w:t>24</w:t>
      </w:r>
      <w:r>
        <w:rPr>
          <w:sz w:val="20"/>
          <w:szCs w:val="20"/>
        </w:rPr>
        <w:t>个月内，A轮投资人指定的董事提议上市，并且公司已经满足潜在股票交易市场的要求，但是董事会却拒绝了该上市要求的情况下，A轮投资人有权要求公司在</w:t>
      </w:r>
      <w:r>
        <w:rPr>
          <w:rFonts w:hint="eastAsia"/>
          <w:sz w:val="20"/>
          <w:szCs w:val="20"/>
        </w:rPr>
        <w:t>拒绝该上市要求的2个月内，</w:t>
      </w:r>
      <w:r>
        <w:rPr>
          <w:sz w:val="20"/>
          <w:szCs w:val="20"/>
        </w:rPr>
        <w:t>用现金赎回全部或者部分的优先股，赎回价必须高于或等于：</w:t>
        <w:br/>
        <w:br/>
        <w:t>　　1. 本轮投资额加上本轮完成之日起按照</w:t>
      </w:r>
      <w:r>
        <w:rPr>
          <w:rFonts w:hint="eastAsia"/>
          <w:sz w:val="20"/>
          <w:szCs w:val="20"/>
        </w:rPr>
        <w:t>10</w:t>
      </w:r>
      <w:r>
        <w:rPr>
          <w:sz w:val="20"/>
          <w:szCs w:val="20"/>
        </w:rPr>
        <w:t>%内部报酬率（IRR）实现的收益总和；</w:t>
        <w:br/>
        <w:br/>
        <w:t>　　2. A轮投资人按比例应获得的前一个财年经审计的税后净利部分的</w:t>
      </w:r>
      <w:r>
        <w:rPr>
          <w:rFonts w:hint="eastAsia"/>
          <w:sz w:val="20"/>
          <w:szCs w:val="20"/>
        </w:rPr>
        <w:t>2</w:t>
      </w:r>
      <w:r>
        <w:rPr>
          <w:sz w:val="20"/>
          <w:szCs w:val="20"/>
        </w:rPr>
        <w:t>倍。</w:t>
        <w:br/>
        <w:br/>
        <w:br/>
        <w:t>　　</w:t>
      </w:r>
      <w:r>
        <w:rPr>
          <w:b/>
          <w:bCs/>
          <w:sz w:val="20"/>
          <w:szCs w:val="20"/>
        </w:rPr>
        <w:t>未履行承诺条款的出售选择权</w:t>
      </w:r>
      <w:r>
        <w:rPr>
          <w:sz w:val="20"/>
          <w:szCs w:val="20"/>
        </w:rPr>
        <w:br/>
        <w:br/>
        <w:t>　　如果创始股东和公司在本轮投资完成后</w:t>
      </w:r>
      <w:r>
        <w:rPr>
          <w:rFonts w:hint="eastAsia"/>
          <w:sz w:val="20"/>
          <w:szCs w:val="20"/>
        </w:rPr>
        <w:t>24</w:t>
      </w:r>
      <w:r>
        <w:rPr>
          <w:sz w:val="20"/>
          <w:szCs w:val="20"/>
        </w:rPr>
        <w:t>个月内，没有完成下文“签署和完成交易的前提条件和交易完成后的承诺条款”中定义的投资后承诺条款，公司必须按照A轮投资人要求部分赎回本轮发行的优先股；赎回的价格按照从</w:t>
      </w:r>
      <w:r>
        <w:rPr>
          <w:rFonts w:hint="eastAsia"/>
          <w:sz w:val="20"/>
          <w:szCs w:val="20"/>
        </w:rPr>
        <w:t>起始投资日到</w:t>
      </w:r>
      <w:r>
        <w:rPr>
          <w:sz w:val="20"/>
          <w:szCs w:val="20"/>
        </w:rPr>
        <w:t>本轮投资完成之日起按照</w:t>
      </w:r>
      <w:r>
        <w:rPr>
          <w:rFonts w:hint="eastAsia"/>
          <w:sz w:val="20"/>
          <w:szCs w:val="20"/>
        </w:rPr>
        <w:t>8</w:t>
      </w:r>
      <w:r>
        <w:rPr>
          <w:sz w:val="20"/>
          <w:szCs w:val="20"/>
        </w:rPr>
        <w:t>%内部报酬率（IRR）实现的收益的总和。</w:t>
        <w:br/>
        <w:br/>
        <w:br/>
        <w:t>　　</w:t>
      </w:r>
      <w:r>
        <w:rPr>
          <w:b/>
          <w:bCs/>
          <w:sz w:val="20"/>
          <w:szCs w:val="20"/>
        </w:rPr>
        <w:t>创始股东承诺</w:t>
      </w:r>
      <w:r>
        <w:rPr>
          <w:sz w:val="20"/>
          <w:szCs w:val="20"/>
        </w:rPr>
        <w:br/>
        <w:br/>
        <w:t>　　所有创始股东必须共同地和分别地承诺</w:t>
      </w:r>
      <w:r>
        <w:rPr>
          <w:rFonts w:hint="eastAsia"/>
          <w:sz w:val="20"/>
          <w:szCs w:val="20"/>
        </w:rPr>
        <w:t>，</w:t>
      </w:r>
      <w:r>
        <w:rPr>
          <w:sz w:val="20"/>
          <w:szCs w:val="20"/>
        </w:rPr>
        <w:t>公司将有义务履行上述出售选择权条款。</w:t>
        <w:br/>
        <w:br/>
        <w:br/>
        <w:t>　　</w:t>
      </w:r>
      <w:r>
        <w:rPr>
          <w:b/>
          <w:bCs/>
          <w:sz w:val="20"/>
          <w:szCs w:val="20"/>
        </w:rPr>
        <w:t>转换权以及棘轮条款（Ratchet）</w:t>
      </w:r>
      <w:r>
        <w:rPr>
          <w:sz w:val="20"/>
          <w:szCs w:val="20"/>
        </w:rPr>
        <w:br/>
        <w:br/>
        <w:t>　　A轮优先股股东有权在任何时候将A轮优先股转换成普通股。初始的转换率为1:1。A轮优先股的股价转换率将随着股权分拆，股息，并股，或类似交易而按比例进行调整。</w:t>
        <w:br/>
        <w:br/>
        <w:t>　　新股发行的价格不能低于A轮投资人的价格。在新发行股票或者权益性工具价格低于A轮投资人的购买价格时，A轮优先股转换价格将根据棘轮条款（ratchet）进行调整。</w:t>
        <w:br/>
        <w:br/>
        <w:br/>
        <w:t>　　</w:t>
      </w:r>
      <w:r>
        <w:rPr>
          <w:b/>
          <w:bCs/>
          <w:sz w:val="20"/>
          <w:szCs w:val="20"/>
        </w:rPr>
        <w:t>清算优先权</w:t>
      </w:r>
      <w:r>
        <w:rPr>
          <w:sz w:val="20"/>
          <w:szCs w:val="20"/>
        </w:rPr>
        <w:br/>
        <w:br/>
        <w:t>　　当公司出现清算，解散或者关闭等情况（简称清算）下，公司资产</w:t>
      </w:r>
      <w:r>
        <w:rPr>
          <w:rFonts w:hint="eastAsia"/>
          <w:sz w:val="20"/>
          <w:szCs w:val="20"/>
        </w:rPr>
        <w:t>（含固定和非固定资产）</w:t>
      </w:r>
      <w:r>
        <w:rPr>
          <w:sz w:val="20"/>
          <w:szCs w:val="20"/>
        </w:rPr>
        <w:t>将按照股东股权比例进行分配。</w:t>
      </w:r>
      <w:r>
        <w:rPr>
          <w:rFonts w:hint="eastAsia"/>
          <w:sz w:val="20"/>
          <w:szCs w:val="20"/>
        </w:rPr>
        <w:t xml:space="preserve"> </w:t>
      </w:r>
      <w:r>
        <w:rPr>
          <w:sz w:val="20"/>
          <w:szCs w:val="20"/>
        </w:rPr>
        <w:t>A轮投资人</w:t>
      </w:r>
      <w:r>
        <w:rPr>
          <w:rFonts w:hint="eastAsia"/>
          <w:sz w:val="20"/>
          <w:szCs w:val="20"/>
        </w:rPr>
        <w:t>的优先股与普通股享受同等清算权益</w:t>
      </w:r>
      <w:r>
        <w:rPr>
          <w:sz w:val="20"/>
          <w:szCs w:val="20"/>
        </w:rPr>
        <w:t>（按照人民币进行计算和支付）。</w:t>
        <w:br/>
        <w:br/>
        <w:t>　　在公司发生并购，并且i) 公司股东在未来并购后的公司中没有主导权；或者ii) 出售公司全部所有权等两种情况将被视为清算。在上述任何情况下，A轮优先股股东有权选择在执行并购前全部或部分的转换其优先股。如果该交易的完成不满足清算条款，A轮投资人将有权废除前述的转换。</w:t>
        <w:br/>
        <w:br/>
        <w:br/>
        <w:t>　　</w:t>
      </w:r>
      <w:r>
        <w:rPr>
          <w:b/>
          <w:bCs/>
          <w:sz w:val="20"/>
          <w:szCs w:val="20"/>
        </w:rPr>
        <w:t>沽售权和转换权作为累积权益</w:t>
      </w:r>
      <w:r>
        <w:rPr>
          <w:sz w:val="20"/>
          <w:szCs w:val="20"/>
        </w:rPr>
        <w:br/>
        <w:br/>
        <w:t>　　上述A轮投资人的出售选择权和转换A轮优先股权是并存的，而不是互斥的。</w:t>
        <w:br/>
        <w:br/>
        <w:t>　　公司和现有股东以及他们的继任者承诺采取必要的、恰当的或者可采取的行动（包括但不限于：通过决议，指定公共声明并填写相关申请，减少公司的注册资本</w:t>
      </w:r>
      <w:r>
        <w:rPr>
          <w:rFonts w:hint="eastAsia"/>
          <w:sz w:val="20"/>
          <w:szCs w:val="20"/>
        </w:rPr>
        <w:t>，或者降低预期收益率</w:t>
      </w:r>
      <w:r>
        <w:rPr>
          <w:sz w:val="20"/>
          <w:szCs w:val="20"/>
        </w:rPr>
        <w:t>等）来执行上面提到的赎回或者回购优先股。</w:t>
        <w:br/>
        <w:br/>
        <w:br/>
        <w:t>　　</w:t>
      </w:r>
      <w:r>
        <w:rPr>
          <w:b/>
          <w:bCs/>
          <w:sz w:val="20"/>
          <w:szCs w:val="20"/>
        </w:rPr>
        <w:t>强卖权（Drag Along）</w:t>
      </w:r>
      <w:r>
        <w:rPr>
          <w:sz w:val="20"/>
          <w:szCs w:val="20"/>
        </w:rPr>
        <w:br/>
        <w:br/>
        <w:t>　　创始股东和所有未来的普通股股东都强制要求同意：当公司的估值少于人民币</w:t>
      </w:r>
      <w:r>
        <w:rPr>
          <w:rFonts w:hint="eastAsia"/>
          <w:sz w:val="20"/>
          <w:szCs w:val="20"/>
        </w:rPr>
        <w:t>30</w:t>
      </w:r>
      <w:r>
        <w:rPr>
          <w:sz w:val="20"/>
          <w:szCs w:val="20"/>
        </w:rPr>
        <w:t>万时</w:t>
      </w:r>
      <w:r>
        <w:rPr>
          <w:rFonts w:hint="eastAsia"/>
          <w:sz w:val="20"/>
          <w:szCs w:val="20"/>
        </w:rPr>
        <w:t>并且同意的股东（优先股和普通股）：总占股数量的60%以上，</w:t>
      </w:r>
      <w:r>
        <w:rPr>
          <w:sz w:val="20"/>
          <w:szCs w:val="20"/>
        </w:rPr>
        <w:t>同意出售或者清算公司时，其他A轮优先股股东和普通股股东必须同意该出售或者清算计划。</w:t>
        <w:br/>
        <w:br/>
        <w:br/>
        <w:t>　　</w:t>
      </w:r>
      <w:r>
        <w:rPr>
          <w:b/>
          <w:bCs/>
          <w:sz w:val="20"/>
          <w:szCs w:val="20"/>
        </w:rPr>
        <w:t>公司治理</w:t>
      </w:r>
      <w:r>
        <w:rPr>
          <w:sz w:val="20"/>
          <w:szCs w:val="20"/>
        </w:rPr>
        <w:br/>
        <w:br/>
        <w:t>　　本轮投资完成后，董事会将保留</w:t>
      </w:r>
      <w:r>
        <w:rPr>
          <w:rFonts w:hint="eastAsia"/>
          <w:sz w:val="20"/>
          <w:szCs w:val="20"/>
        </w:rPr>
        <w:t>4</w:t>
      </w:r>
      <w:r>
        <w:rPr>
          <w:sz w:val="20"/>
          <w:szCs w:val="20"/>
        </w:rPr>
        <w:t>个席位，公司和现有股东占</w:t>
      </w:r>
      <w:r>
        <w:rPr>
          <w:rFonts w:hint="eastAsia"/>
          <w:sz w:val="20"/>
          <w:szCs w:val="20"/>
        </w:rPr>
        <w:t>2</w:t>
      </w:r>
      <w:r>
        <w:rPr>
          <w:sz w:val="20"/>
          <w:szCs w:val="20"/>
        </w:rPr>
        <w:t>个席位，A轮投资人占2个席位（投资董事）。董事会必须每季度至少召开一次。</w:t>
        <w:br/>
        <w:br/>
        <w:t>　　除了以下所列的“重大事项”，董事会决议必须至少获得</w:t>
      </w:r>
      <w:r>
        <w:rPr>
          <w:rFonts w:hint="eastAsia"/>
          <w:sz w:val="20"/>
          <w:szCs w:val="20"/>
        </w:rPr>
        <w:t>2</w:t>
      </w:r>
      <w:r>
        <w:rPr>
          <w:sz w:val="20"/>
          <w:szCs w:val="20"/>
        </w:rPr>
        <w:t>个董事其中至少包括1名投资董事肯定的批准才能通过。某些重大事项的批准需要得到所有董事书面肯定的批准才能通过。该条款同样应用在公司的所有子公司和其他控制的实体中。</w:t>
        <w:br/>
        <w:br/>
        <w:t>　　需要所有董事批准生效的“重大事项”包括但不限于如下方面：</w:t>
        <w:br/>
        <w:br/>
        <w:t>　　(a) 备忘录和公司章程的修订；</w:t>
        <w:br/>
        <w:br/>
        <w:t>　　(b) 收购、合并或者整合；</w:t>
      </w:r>
      <w:r>
        <w:rPr>
          <w:rFonts w:hint="eastAsia"/>
          <w:sz w:val="20"/>
          <w:szCs w:val="20"/>
        </w:rPr>
        <w:t>一年内</w:t>
      </w:r>
      <w:r>
        <w:rPr>
          <w:sz w:val="20"/>
          <w:szCs w:val="20"/>
        </w:rPr>
        <w:t>出售或者转移的资产或者股东权益</w:t>
      </w:r>
      <w:r>
        <w:rPr>
          <w:rFonts w:hint="eastAsia"/>
          <w:sz w:val="20"/>
          <w:szCs w:val="20"/>
        </w:rPr>
        <w:t>累计</w:t>
      </w:r>
      <w:r>
        <w:rPr>
          <w:sz w:val="20"/>
          <w:szCs w:val="20"/>
        </w:rPr>
        <w:t>超过人民币</w:t>
      </w:r>
      <w:r>
        <w:rPr>
          <w:rFonts w:hint="eastAsia"/>
          <w:sz w:val="20"/>
          <w:szCs w:val="20"/>
        </w:rPr>
        <w:t>1万</w:t>
      </w:r>
      <w:r>
        <w:rPr>
          <w:sz w:val="20"/>
          <w:szCs w:val="20"/>
        </w:rPr>
        <w:t>元；转移、出售并且重购公司注册资本金或者公司股权；建立或者注资任何合资公司；清算或者破产；</w:t>
        <w:br/>
        <w:br/>
        <w:t>　　(c) 变更注册资本；变更股本，发行或者销售其他类股凭证，发行超过金额人民币</w:t>
      </w:r>
      <w:r>
        <w:rPr>
          <w:rFonts w:hint="eastAsia"/>
          <w:sz w:val="20"/>
          <w:szCs w:val="20"/>
        </w:rPr>
        <w:t>1</w:t>
      </w:r>
      <w:r>
        <w:rPr>
          <w:sz w:val="20"/>
          <w:szCs w:val="20"/>
        </w:rPr>
        <w:t>元的公司债；</w:t>
        <w:br/>
        <w:br/>
        <w:t xml:space="preserve">　　(d) </w:t>
      </w:r>
      <w:r>
        <w:rPr>
          <w:rFonts w:hint="eastAsia"/>
          <w:sz w:val="20"/>
          <w:szCs w:val="20"/>
        </w:rPr>
        <w:t>以公司或者股东身份，</w:t>
      </w:r>
      <w:r>
        <w:rPr>
          <w:sz w:val="20"/>
          <w:szCs w:val="20"/>
        </w:rPr>
        <w:t>为不是子公司或者母公司的第三方提供担保；</w:t>
        <w:br/>
        <w:br/>
        <w:t>　　(e) 变更或者扩展业务范围；非业务范围内的交易和任何业务范围之外的投资；</w:t>
        <w:br/>
        <w:br/>
        <w:t>　　(f) 分红策略和分红或其他资金派送；</w:t>
        <w:br/>
        <w:br/>
        <w:t>　　(g) 任何关联方交易；</w:t>
        <w:br/>
        <w:br/>
        <w:t>　　(h) 指定或者变更审计机构；变更会计法则和流程；</w:t>
        <w:br/>
        <w:br/>
        <w:t>　　(i) 任命高层管理人员，包括CEO，COO，CFO</w:t>
      </w:r>
      <w:r>
        <w:rPr>
          <w:rFonts w:hint="eastAsia"/>
          <w:sz w:val="20"/>
          <w:szCs w:val="20"/>
        </w:rPr>
        <w:t>，</w:t>
      </w:r>
      <w:r>
        <w:rPr>
          <w:sz w:val="20"/>
          <w:szCs w:val="20"/>
        </w:rPr>
        <w:t>CMO</w:t>
      </w:r>
      <w:r>
        <w:rPr>
          <w:rFonts w:hint="eastAsia"/>
          <w:sz w:val="20"/>
          <w:szCs w:val="20"/>
        </w:rPr>
        <w:t>，CTO</w:t>
      </w:r>
      <w:r>
        <w:rPr>
          <w:sz w:val="20"/>
          <w:szCs w:val="20"/>
        </w:rPr>
        <w:t>；</w:t>
        <w:br/>
        <w:br/>
        <w:t xml:space="preserve">　　(j) 批准员工持股计划； </w:t>
        <w:br/>
        <w:br/>
        <w:t>　　(</w:t>
      </w:r>
      <w:r>
        <w:rPr>
          <w:rFonts w:hint="eastAsia"/>
          <w:sz w:val="20"/>
          <w:szCs w:val="20"/>
        </w:rPr>
        <w:t>k</w:t>
      </w:r>
      <w:r>
        <w:rPr>
          <w:sz w:val="20"/>
          <w:szCs w:val="20"/>
        </w:rPr>
        <w:t>) 批准公司的年度业务计划和年度预算；任何单笔支出超过人民币</w:t>
      </w:r>
      <w:r>
        <w:rPr>
          <w:rFonts w:hint="eastAsia"/>
          <w:sz w:val="20"/>
          <w:szCs w:val="20"/>
        </w:rPr>
        <w:t>6千</w:t>
      </w:r>
      <w:r>
        <w:rPr>
          <w:sz w:val="20"/>
          <w:szCs w:val="20"/>
        </w:rPr>
        <w:t>元的或者12个月内累积超过人民币</w:t>
      </w:r>
      <w:r>
        <w:rPr>
          <w:rFonts w:hint="eastAsia"/>
          <w:sz w:val="20"/>
          <w:szCs w:val="20"/>
        </w:rPr>
        <w:t>3</w:t>
      </w:r>
      <w:r>
        <w:rPr>
          <w:sz w:val="20"/>
          <w:szCs w:val="20"/>
        </w:rPr>
        <w:t>万元的预算外支出。</w:t>
        <w:br/>
        <w:br/>
        <w:br/>
        <w:t>　　</w:t>
      </w:r>
      <w:r>
        <w:rPr>
          <w:b/>
          <w:bCs/>
          <w:sz w:val="20"/>
          <w:szCs w:val="20"/>
        </w:rPr>
        <w:t>A轮投资人的股东权利</w:t>
      </w:r>
      <w:r>
        <w:rPr>
          <w:sz w:val="20"/>
          <w:szCs w:val="20"/>
        </w:rPr>
        <w:br/>
        <w:br/>
        <w:t>　　公司全体股东间通过协议保证拥有但不限于如下权利：</w:t>
      </w:r>
      <w:r>
        <w:rPr>
          <w:rFonts w:hint="eastAsia"/>
          <w:sz w:val="20"/>
          <w:szCs w:val="20"/>
        </w:rPr>
        <w:t>股东身份权(s</w:t>
      </w:r>
      <w:r>
        <w:rPr>
          <w:sz w:val="20"/>
          <w:szCs w:val="20"/>
        </w:rPr>
        <w:t>hareholder identity right</w:t>
      </w:r>
      <w:r>
        <w:rPr>
          <w:rFonts w:hint="eastAsia"/>
          <w:sz w:val="20"/>
          <w:szCs w:val="20"/>
        </w:rPr>
        <w:t>)、</w:t>
      </w:r>
      <w:r>
        <w:rPr>
          <w:sz w:val="20"/>
          <w:szCs w:val="20"/>
        </w:rPr>
        <w:t>知情权（information right）、查阅权（inspection right）、要求登记权（demand registration right）、附属登记权（piggyback registration right）、新股优先购买权（pre-emptive rights to new issuance）、优先取舍权（right of first refusal）、跟随权（tag-along right）以及创始股东的锁定周期。创始股东的股票出售是受限的（参见“创始股东售股限制”条款）。上述权限除了登记权和原始股东锁定期之外将在公司有效IPO之后失效。</w:t>
        <w:br/>
        <w:br/>
        <w:br/>
        <w:t>　　</w:t>
      </w:r>
      <w:r>
        <w:rPr>
          <w:b/>
          <w:bCs/>
          <w:sz w:val="20"/>
          <w:szCs w:val="20"/>
        </w:rPr>
        <w:t>创始股东售股限制</w:t>
      </w:r>
      <w:r>
        <w:rPr>
          <w:sz w:val="20"/>
          <w:szCs w:val="20"/>
        </w:rPr>
        <w:br/>
        <w:br/>
        <w:t>　　从本次投资完成之日起到上市后</w:t>
      </w:r>
      <w:r>
        <w:rPr>
          <w:rFonts w:hint="eastAsia"/>
          <w:sz w:val="20"/>
          <w:szCs w:val="20"/>
        </w:rPr>
        <w:t>12</w:t>
      </w:r>
      <w:r>
        <w:rPr>
          <w:sz w:val="20"/>
          <w:szCs w:val="20"/>
        </w:rPr>
        <w:t>个月内，所有创始股东的股</w:t>
      </w:r>
      <w:r>
        <w:rPr>
          <w:rFonts w:hint="eastAsia"/>
          <w:sz w:val="20"/>
          <w:szCs w:val="20"/>
        </w:rPr>
        <w:t>权</w:t>
      </w:r>
      <w:r>
        <w:rPr>
          <w:sz w:val="20"/>
          <w:szCs w:val="20"/>
        </w:rPr>
        <w:t>交易受限：即在没有得到A轮投资人的书面同意情况下，创始股东的股票（包括任何形式的期权，衍生品，抵押品或者这些股票相关的</w:t>
      </w:r>
      <w:r>
        <w:rPr>
          <w:rFonts w:hint="eastAsia"/>
          <w:sz w:val="20"/>
          <w:szCs w:val="20"/>
        </w:rPr>
        <w:t>交易</w:t>
      </w:r>
      <w:r>
        <w:rPr>
          <w:sz w:val="20"/>
          <w:szCs w:val="20"/>
        </w:rPr>
        <w:t>）都不能转让给第三方。</w:t>
        <w:br/>
        <w:br/>
        <w:br/>
        <w:t>　　</w:t>
      </w:r>
      <w:r>
        <w:rPr>
          <w:b/>
          <w:bCs/>
          <w:sz w:val="20"/>
          <w:szCs w:val="20"/>
        </w:rPr>
        <w:t>利益冲突和披露</w:t>
      </w:r>
      <w:r>
        <w:rPr>
          <w:sz w:val="20"/>
          <w:szCs w:val="20"/>
        </w:rPr>
        <w:br/>
        <w:br/>
        <w:t>　　必须完全披露创始股东或者核心人员现有的或者潜在的和公司利益的冲突，以及为了发现和避免上述冲突所采取的任何措施</w:t>
      </w:r>
      <w:r>
        <w:rPr>
          <w:rFonts w:hint="eastAsia"/>
          <w:sz w:val="20"/>
          <w:szCs w:val="20"/>
        </w:rPr>
        <w:t>：i)在此轮融资12个月内，核心成员主动离职时，其持有股份按照当前审计的价格15%进行兑换；核心成员死亡，其持有股份按照本年度审计的价格40%进行兑换给其直系亲属；ii) 在此轮融资12~24个月内，核心成员主动离职时，其持有股份按照当前审计的价格20%进行兑换；核心成员死亡，其持有股份按照本年度审计的价格50%进行兑换给其直系亲属</w:t>
      </w:r>
      <w:r>
        <w:rPr>
          <w:sz w:val="20"/>
          <w:szCs w:val="20"/>
        </w:rPr>
        <w:t>。</w:t>
        <w:br/>
      </w:r>
    </w:p>
    <w:p>
      <w:pPr>
        <w:pStyle w:val="15"/>
        <w:ind w:firstLine="420"/>
        <w:rPr>
          <w:b/>
          <w:bCs/>
          <w:sz w:val="20"/>
          <w:szCs w:val="20"/>
        </w:rPr>
      </w:pPr>
      <w:r>
        <w:rPr>
          <w:rFonts w:hint="eastAsia"/>
          <w:b/>
          <w:bCs/>
          <w:sz w:val="20"/>
          <w:szCs w:val="20"/>
        </w:rPr>
        <w:t>直系亲属股权收益权</w:t>
      </w:r>
    </w:p>
    <w:p>
      <w:pPr>
        <w:pStyle w:val="15"/>
        <w:ind w:firstLine="420"/>
        <w:rPr>
          <w:sz w:val="20"/>
          <w:szCs w:val="20"/>
        </w:rPr>
      </w:pPr>
      <w:r>
        <w:rPr>
          <w:rFonts w:hint="eastAsia"/>
          <w:sz w:val="20"/>
          <w:szCs w:val="20"/>
        </w:rPr>
        <w:t>此文本中的直系亲属包括：父母、妻子、子女、孙子女，在无前面的直系亲属时，养父母和养子女可以继承股份收益，如以上直系亲属均不存在，股权由当前股东进行1:1分配认购。</w:t>
      </w:r>
      <w:r>
        <w:rPr>
          <w:sz w:val="20"/>
          <w:szCs w:val="20"/>
        </w:rPr>
        <w:br/>
      </w:r>
      <w:r>
        <w:rPr>
          <w:rFonts w:hint="eastAsia"/>
          <w:sz w:val="20"/>
          <w:szCs w:val="20"/>
        </w:rPr>
        <w:tab/>
        <w:t>核心成员出现死亡时，在有遗嘱的情况下，按照其订立的遗嘱执行。未立遗嘱时，股权收益按照一下方式发放：</w:t>
      </w:r>
    </w:p>
    <w:p>
      <w:pPr>
        <w:pStyle w:val="15"/>
        <w:ind w:firstLine="420"/>
        <w:rPr>
          <w:sz w:val="20"/>
          <w:szCs w:val="20"/>
        </w:rPr>
      </w:pPr>
      <w:r>
        <w:rPr>
          <w:rFonts w:hint="eastAsia"/>
          <w:sz w:val="20"/>
          <w:szCs w:val="20"/>
        </w:rPr>
        <w:t>继承顺序：妻子（第一继承人）-父母（第二继承人）-子女（第三继承人）-孙女（第四继承人）-养父母（第五继承人）-养子女（第六继承人）</w:t>
      </w:r>
    </w:p>
    <w:p>
      <w:pPr>
        <w:pStyle w:val="15"/>
        <w:ind w:firstLine="420"/>
        <w:rPr>
          <w:sz w:val="20"/>
          <w:szCs w:val="20"/>
        </w:rPr>
      </w:pPr>
      <w:r>
        <w:rPr>
          <w:rFonts w:hint="eastAsia"/>
          <w:sz w:val="20"/>
          <w:szCs w:val="20"/>
        </w:rPr>
        <w:t>一) 第一继承人：40%，第二继承人：35%：第三继承人：25%；</w:t>
      </w:r>
    </w:p>
    <w:p>
      <w:pPr>
        <w:pStyle w:val="15"/>
        <w:ind w:firstLine="420"/>
        <w:rPr>
          <w:sz w:val="20"/>
          <w:szCs w:val="20"/>
        </w:rPr>
      </w:pPr>
      <w:r>
        <w:rPr>
          <w:rFonts w:hint="eastAsia"/>
          <w:sz w:val="20"/>
          <w:szCs w:val="20"/>
        </w:rPr>
        <w:t>二) 同一继承人有多人时1:1分配；</w:t>
      </w:r>
    </w:p>
    <w:p>
      <w:pPr>
        <w:pStyle w:val="15"/>
        <w:ind w:firstLine="420"/>
        <w:rPr>
          <w:sz w:val="20"/>
          <w:szCs w:val="20"/>
        </w:rPr>
      </w:pPr>
      <w:r>
        <w:rPr>
          <w:rFonts w:hint="eastAsia"/>
          <w:sz w:val="20"/>
          <w:szCs w:val="20"/>
        </w:rPr>
        <w:t>三) 未满16岁：监护人1:1继承60%的收益，剩余40%的收益按照第一、二条执行；</w:t>
      </w:r>
    </w:p>
    <w:p>
      <w:pPr>
        <w:pStyle w:val="15"/>
        <w:ind w:firstLine="420"/>
        <w:rPr>
          <w:sz w:val="20"/>
          <w:szCs w:val="20"/>
        </w:rPr>
      </w:pPr>
      <w:r>
        <w:rPr>
          <w:rFonts w:hint="eastAsia"/>
          <w:sz w:val="20"/>
          <w:szCs w:val="20"/>
        </w:rPr>
        <w:t>四) 如第一继承人不存在或者放弃继承，第二继承人自动变为第一继承人，以此类推。</w:t>
      </w:r>
    </w:p>
    <w:p>
      <w:pPr>
        <w:pStyle w:val="15"/>
        <w:rPr>
          <w:rFonts w:hint="eastAsia"/>
          <w:sz w:val="20"/>
          <w:szCs w:val="20"/>
        </w:rPr>
      </w:pPr>
      <w:r>
        <w:rPr>
          <w:rFonts w:hint="eastAsia"/>
          <w:sz w:val="20"/>
          <w:szCs w:val="20"/>
        </w:rPr>
        <w:tab/>
        <w:t>此收益兑换在18个月内完成全部（100%）兑换，在6个月内完成40%的兑换，12个月内完成70%的兑换。</w:t>
      </w:r>
    </w:p>
    <w:p>
      <w:pPr>
        <w:pStyle w:val="15"/>
        <w:rPr>
          <w:rFonts w:hint="eastAsia"/>
          <w:sz w:val="20"/>
          <w:szCs w:val="20"/>
        </w:rPr>
      </w:pPr>
      <w:r>
        <w:rPr>
          <w:sz w:val="20"/>
          <w:szCs w:val="20"/>
        </w:rPr>
        <w:br/>
        <w:t>　　</w:t>
      </w:r>
      <w:r>
        <w:rPr>
          <w:b/>
          <w:bCs/>
          <w:sz w:val="20"/>
          <w:szCs w:val="20"/>
        </w:rPr>
        <w:t>核心人员</w:t>
      </w:r>
      <w:r>
        <w:rPr>
          <w:sz w:val="20"/>
          <w:szCs w:val="20"/>
        </w:rPr>
        <w:br/>
        <w:br/>
        <w:t>　　核心人员是指董事会成员和公司的高层管理团队成员。核心人员中的公司雇员必须和公司签订符合A轮投资人要求的新的雇佣合同。新的雇佣合同必须包含保密条款和竞业限制条款（详细的条款有待确定）。和创始股东签订的雇佣合同必须保证创始股东在公司或者其分支机构从本轮投资结束开始全职工作至少</w:t>
      </w:r>
      <w:r>
        <w:rPr>
          <w:rFonts w:hint="eastAsia"/>
          <w:sz w:val="20"/>
          <w:szCs w:val="20"/>
        </w:rPr>
        <w:t>2</w:t>
      </w:r>
      <w:r>
        <w:rPr>
          <w:sz w:val="20"/>
          <w:szCs w:val="20"/>
        </w:rPr>
        <w:t>年。</w:t>
        <w:br/>
        <w:br/>
        <w:t>　　如果创始股东无法履行其雇佣合同，必须根据从本轮投资完成之日到不能履行合同之日的时间周期，按如下的比例出让其持有的截至本轮投资结束时的股份：</w:t>
        <w:br/>
        <w:br/>
        <w:t>　　（a） 本轮投资完成之日起到一年（含）：70%原始股份；</w:t>
        <w:br/>
        <w:br/>
        <w:t xml:space="preserve">　　（b） 本轮投资完成后一年到两年（含）：50%原始股份； </w:t>
        <w:br/>
        <w:br/>
        <w:t>　　如果有效IPO在本轮融资结束后</w:t>
      </w:r>
      <w:r>
        <w:rPr>
          <w:rFonts w:hint="eastAsia"/>
          <w:sz w:val="20"/>
          <w:szCs w:val="20"/>
        </w:rPr>
        <w:t>2</w:t>
      </w:r>
      <w:r>
        <w:rPr>
          <w:sz w:val="20"/>
          <w:szCs w:val="20"/>
        </w:rPr>
        <w:t>年内发生，那么上述要求也将自动失效。</w:t>
      </w:r>
    </w:p>
    <w:p>
      <w:pPr>
        <w:pStyle w:val="15"/>
        <w:ind w:firstLine="420"/>
        <w:rPr>
          <w:sz w:val="20"/>
          <w:szCs w:val="20"/>
        </w:rPr>
      </w:pPr>
      <w:r>
        <w:rPr>
          <w:rFonts w:hint="eastAsia"/>
          <w:sz w:val="20"/>
          <w:szCs w:val="20"/>
        </w:rPr>
        <w:t>由于属于风险投资，因此原始股出卖在收益上有限制：一年内出售按照购入价的15%回购；一年到2年内出售按照购入价的20%回购。在2年内公司发生清算、收购业务时，按照当年的审计结果为股东分配收益。</w:t>
      </w:r>
      <w:r>
        <w:rPr>
          <w:sz w:val="20"/>
          <w:szCs w:val="20"/>
        </w:rPr>
        <w:br/>
        <w:br/>
        <w:br/>
        <w:t>　　</w:t>
      </w:r>
      <w:r>
        <w:rPr>
          <w:b/>
          <w:bCs/>
          <w:sz w:val="20"/>
          <w:szCs w:val="20"/>
        </w:rPr>
        <w:t>保证条款和承诺条款（Representations, Warranties and Covenants）</w:t>
      </w:r>
      <w:r>
        <w:rPr>
          <w:sz w:val="20"/>
          <w:szCs w:val="20"/>
        </w:rPr>
        <w:br/>
        <w:br/>
        <w:t>　　详细的条款将由领投方的律师起草并征求多方意见。</w:t>
        <w:br/>
        <w:br/>
        <w:t>　　公司和现有股东必须做如下保证并在最终的法律文件中取用如下承诺条款：</w:t>
        <w:br/>
        <w:br/>
        <w:t>　　1. 公司已经向A轮投资人提供了所有与投资决策相关的资料和信息，并且这些信息和材料是真实的，准确的，正确的，并不误导投资人；</w:t>
        <w:br/>
        <w:br/>
        <w:t>　　2. 从本轮投资完成之日起，公司将拥有开展业务所必须的资产，许可和执照，这些业务包括公司现在开展的业务和A轮投资人预期的投资完成后要开展的业务；</w:t>
        <w:br/>
        <w:br/>
        <w:t>　　3. 关联方原来管理的合同必须无成本的转移到公司；如果合同无法转移或者仍然在转移的过程中，公司和创始股东必须做必要安排以便在不需要补偿相关方的情况下享受合同带来的收益；</w:t>
        <w:br/>
        <w:br/>
        <w:t>　　4. 公司和创始股东必须共同的和分别的承担任何因为没有披露的债务或者民事诉讼给A轮投资人带来的损失；</w:t>
        <w:br/>
        <w:br/>
        <w:t>　　5. 公司和创始股东必须赔付A轮投资人因为违背保证条款或者不服从承诺条款所造成的损失，伤害和其他债务；</w:t>
        <w:br/>
        <w:br/>
        <w:t>　　6. 普通股股东在没有获得董事会无异议批准情况下不能抵押或者转让其股份给第三方；</w:t>
        <w:br/>
        <w:br/>
        <w:t>　　7. 其他符合交易惯例的保证条款和承诺条款；A轮投资人执行尽职调查所需要的保证条款和承诺条款。保证条款和本轮投资完成后需要履行的承诺条款的有效期为本轮投资完成后</w:t>
      </w:r>
      <w:r>
        <w:rPr>
          <w:rFonts w:hint="eastAsia"/>
          <w:sz w:val="20"/>
          <w:szCs w:val="20"/>
        </w:rPr>
        <w:t>2</w:t>
      </w:r>
      <w:r>
        <w:rPr>
          <w:sz w:val="20"/>
          <w:szCs w:val="20"/>
        </w:rPr>
        <w:t>年。在此期间，创始股东必须将其在公司内的注册资本或者股份抵押给A轮投资人以保证创始股东和公司执行保证条款和承诺条款的义务。</w:t>
        <w:br/>
        <w:br/>
        <w:br/>
        <w:t>　　</w:t>
      </w:r>
      <w:r>
        <w:rPr>
          <w:b/>
          <w:bCs/>
          <w:sz w:val="20"/>
          <w:szCs w:val="20"/>
        </w:rPr>
        <w:t>财务报告</w:t>
      </w:r>
      <w:r>
        <w:rPr>
          <w:sz w:val="20"/>
          <w:szCs w:val="20"/>
        </w:rPr>
        <w:br/>
        <w:br/>
        <w:t>　　公司需要向所有投资人提交：</w:t>
        <w:br/>
        <w:br/>
        <w:t>　　1. 本轮投资完成后，每个月结束后的</w:t>
      </w:r>
      <w:r>
        <w:rPr>
          <w:rFonts w:hint="eastAsia"/>
          <w:sz w:val="20"/>
          <w:szCs w:val="20"/>
        </w:rPr>
        <w:t>10</w:t>
      </w:r>
      <w:r>
        <w:rPr>
          <w:sz w:val="20"/>
          <w:szCs w:val="20"/>
        </w:rPr>
        <w:t>天内，提供公司的月度关键指标和管理数据；和</w:t>
        <w:br/>
        <w:br/>
        <w:t>　　2. 本轮投资完成后，每季度结束后的</w:t>
      </w:r>
      <w:r>
        <w:rPr>
          <w:rFonts w:hint="eastAsia"/>
          <w:sz w:val="20"/>
          <w:szCs w:val="20"/>
        </w:rPr>
        <w:t>20</w:t>
      </w:r>
      <w:r>
        <w:rPr>
          <w:sz w:val="20"/>
          <w:szCs w:val="20"/>
        </w:rPr>
        <w:t>天内，提供季度财务报表（合并的和每个分支机构独立的）。管理和财务报表必须至少包括：符合IFRS的损溢表，资产负债表和现金流量表。</w:t>
        <w:br/>
        <w:br/>
        <w:t>　　每个财年结束后的3个月内，公司必须向投资人提供经双方共同选择的会计师事务所审计的年度财务报表。公司必须在每个财年开始前15天通过来年的财务预算。</w:t>
        <w:br/>
        <w:br/>
        <w:br/>
        <w:t>　　</w:t>
      </w:r>
      <w:r>
        <w:rPr>
          <w:b/>
          <w:bCs/>
          <w:sz w:val="20"/>
          <w:szCs w:val="20"/>
        </w:rPr>
        <w:t>中途交易</w:t>
      </w:r>
      <w:r>
        <w:rPr>
          <w:sz w:val="20"/>
          <w:szCs w:val="20"/>
        </w:rPr>
        <w:br/>
        <w:br/>
        <w:t>　　自投资意向书执行之日至交易完成之日止，若公司发生兼并、收购，或者公司参与到兼并、收购，或者现有股东结构发生变化，或者发生与公司正常业务无关的交易（包括融资安排），或者其他类似的计划或协议，公司应立即书面通知乙方，并与乙方确认上述事项对公司的影响。</w:t>
        <w:br/>
        <w:br/>
        <w:br/>
        <w:t>　　</w:t>
      </w:r>
      <w:r>
        <w:rPr>
          <w:b/>
          <w:bCs/>
          <w:sz w:val="20"/>
          <w:szCs w:val="20"/>
        </w:rPr>
        <w:t>交易费用</w:t>
      </w:r>
      <w:r>
        <w:rPr>
          <w:sz w:val="20"/>
          <w:szCs w:val="20"/>
        </w:rPr>
        <w:br/>
        <w:br/>
        <w:t>　　各方各自承担因谈判，文件起草和交易达成所产生的费用和支出。公司将负责承担审计，法律和其他专业服务费用以及由领头方产生的合理费用，该费用的上限为人民币</w:t>
      </w:r>
      <w:r>
        <w:rPr>
          <w:rFonts w:hint="eastAsia"/>
          <w:sz w:val="20"/>
          <w:szCs w:val="20"/>
        </w:rPr>
        <w:t>2</w:t>
      </w:r>
      <w:r>
        <w:rPr>
          <w:sz w:val="20"/>
          <w:szCs w:val="20"/>
        </w:rPr>
        <w:t>万元。</w:t>
        <w:br/>
        <w:br/>
        <w:br/>
        <w:t>　　</w:t>
      </w:r>
      <w:r>
        <w:rPr>
          <w:b/>
          <w:bCs/>
          <w:sz w:val="20"/>
          <w:szCs w:val="20"/>
        </w:rPr>
        <w:t>保密</w:t>
      </w:r>
      <w:r>
        <w:rPr>
          <w:sz w:val="20"/>
          <w:szCs w:val="20"/>
        </w:rPr>
        <w:br/>
        <w:br/>
        <w:t>　　创始股东和公司必须严格对本意向书涉及的投资人及其委托人信息进行保密。如果创始股东或公司需要将交易相关信息披露给第三方（包括媒体），必须事先获得乙方的书面同意。</w:t>
        <w:br/>
        <w:br/>
        <w:t>　　投资协议签署和完成交易的前提条件和交易完成后的承诺条款</w:t>
        <w:br/>
        <w:br/>
        <w:t xml:space="preserve">　　1. 签署条件 </w:t>
        <w:br/>
        <w:br/>
        <w:t>　　签署最终确定的法律文件的前提条件包括但不限于：</w:t>
        <w:br/>
        <w:br/>
        <w:t>　　① A轮投资人投资决策委员会的批准；</w:t>
        <w:br/>
        <w:br/>
        <w:t>　　② 公司的核心员工和核心人员已经开始执行包含保密条款和竞业限制的新雇佣合同；</w:t>
        <w:br/>
        <w:br/>
        <w:t>　　③ 法律文件已经谈判完成；并且</w:t>
        <w:br/>
        <w:br/>
        <w:t>　　④ 任何A轮投资人在尽职调查期间提出的其他条件得以满足。</w:t>
        <w:br/>
        <w:br/>
        <w:t>　　2. 注资完成条件</w:t>
        <w:br/>
        <w:br/>
        <w:t>　　资金注入的条件包括但不限于：</w:t>
        <w:br/>
        <w:br/>
        <w:t>　　① 法律文件的签署，公司相关的股东大会和董事会决议的通过；</w:t>
        <w:br/>
        <w:br/>
        <w:t>　　② 公司和A轮投资人的律师发表符合A轮投资人要求的法律意见；</w:t>
        <w:br/>
        <w:br/>
        <w:t>　　③ 从本投资意向书签署之日起，没有出现对公司的业务，资产，运营，财务以及前景产生实质负面影响的变化；</w:t>
        <w:br/>
        <w:br/>
        <w:t>　　④ 公司及创始股东已经遵照承诺条款，并且保证条款是真实的，正确的，并在投资完成之日（含）前没有被破坏；</w:t>
        <w:br/>
        <w:br/>
        <w:t>　　⑤ 任何B轮投资人在尽职调查期间提出的其他条件；</w:t>
        <w:br/>
        <w:br/>
        <w:t>　　⑥ 其他符合交易惯例的完成条件。</w:t>
        <w:br/>
        <w:br/>
        <w:t>　　3. 交易完成后承诺条款</w:t>
        <w:br/>
        <w:br/>
        <w:t>　　① 公司及创始股东必须在一个合理的时间范围内获得所有在中华人民共和国运营业务需要的批文和证书；</w:t>
        <w:br/>
        <w:br/>
        <w:t>　　② A轮投资人所要求的其他关键事项，包括投资人所要求完成的重组。</w:t>
        <w:br/>
        <w:br/>
        <w:br/>
        <w:t>　　</w:t>
      </w:r>
      <w:r>
        <w:rPr>
          <w:b/>
          <w:bCs/>
          <w:sz w:val="20"/>
          <w:szCs w:val="20"/>
        </w:rPr>
        <w:t>适用法律</w:t>
      </w:r>
      <w:r>
        <w:rPr>
          <w:sz w:val="20"/>
          <w:szCs w:val="20"/>
        </w:rPr>
        <w:br/>
        <w:br/>
        <w:t>　　投资交易文件中有关合资企业的部分必须适用中华人民共和国</w:t>
      </w:r>
      <w:r>
        <w:rPr>
          <w:rFonts w:hint="eastAsia"/>
          <w:sz w:val="20"/>
          <w:szCs w:val="20"/>
        </w:rPr>
        <w:t>法律</w:t>
      </w:r>
      <w:r>
        <w:rPr>
          <w:sz w:val="20"/>
          <w:szCs w:val="20"/>
        </w:rPr>
        <w:t>，其他事务适用香港特别行政区法律。所有参与方必须同意香港法院的非专属管辖。</w:t>
        <w:br/>
        <w:br/>
        <w:br/>
        <w:t>　　</w:t>
      </w:r>
      <w:r>
        <w:rPr>
          <w:b/>
          <w:bCs/>
          <w:sz w:val="20"/>
          <w:szCs w:val="20"/>
        </w:rPr>
        <w:t>排他权</w:t>
      </w:r>
      <w:r>
        <w:rPr>
          <w:sz w:val="20"/>
          <w:szCs w:val="20"/>
        </w:rPr>
        <w:br/>
        <w:br/>
        <w:t>　　乙方有90天的排他期以便和公司进行投资条款的谈判；如果乙方在排他期截至前告知公司其投资决策委员会已经批准核心交易条款，排他期必须顺延。在双方没有进一步述求下，排他期延长30天。</w:t>
        <w:br/>
        <w:br/>
        <w:t>　　在排他期间，公司和现有股东不能招揽，接受乙方之外的任何潜在投资人或者潜在投资人的代理方，并与之讨论，协商及形成建议书，备忘录，意向书，协议或者其他任何和公司股权债权相关的安排。在甲乙双方书面同意的情况下，排他期可以中止，也可以延长。</w:t>
        <w:br/>
        <w:br/>
        <w:t>　　如果公司或者现有股东破坏前述排他契约，公司必须赔偿乙方所有产生的合理费用（包括法律，尽职调查和其他费用）。</w:t>
        <w:br/>
      </w:r>
    </w:p>
    <w:p>
      <w:pPr>
        <w:pStyle w:val="15"/>
        <w:ind w:left="420"/>
        <w:rPr>
          <w:b/>
          <w:bCs/>
          <w:sz w:val="20"/>
          <w:szCs w:val="20"/>
        </w:rPr>
      </w:pPr>
      <w:r>
        <w:rPr>
          <w:sz w:val="20"/>
          <w:szCs w:val="20"/>
        </w:rPr>
        <w:br/>
      </w:r>
      <w:r>
        <w:rPr>
          <w:rFonts w:hint="eastAsia"/>
          <w:b/>
          <w:bCs/>
          <w:sz w:val="20"/>
          <w:szCs w:val="20"/>
        </w:rPr>
        <w:t>保密条款</w:t>
      </w:r>
    </w:p>
    <w:p>
      <w:pPr>
        <w:autoSpaceDE w:val="0"/>
        <w:autoSpaceDN w:val="0"/>
        <w:adjustRightInd w:val="0"/>
        <w:ind w:firstLine="420"/>
        <w:jc w:val="left"/>
        <w:rPr>
          <w:rFonts w:ascii="宋体" w:eastAsia="宋体" w:cs="宋体"/>
          <w:kern w:val="0"/>
          <w:sz w:val="20"/>
          <w:szCs w:val="20"/>
        </w:rPr>
      </w:pPr>
      <w:r>
        <w:rPr>
          <w:rFonts w:ascii="宋体" w:eastAsia="宋体" w:cs="宋体"/>
          <w:kern w:val="0"/>
          <w:sz w:val="20"/>
          <w:szCs w:val="20"/>
        </w:rPr>
        <w:t>1.乙方对在工作过程中接触到的甲方的任何资料、文件、数据（无论是书面的还是电子的），以及对为甲方服务形成的任何交付物，负有为甲方保密的责任。未经甲方书面同意，乙方不得以任何方式向任何第三方提供或透露</w:t>
      </w:r>
      <w:r>
        <w:rPr>
          <w:rFonts w:ascii="宋体" w:eastAsia="宋体" w:cs="宋体" w:hint="eastAsia"/>
          <w:kern w:val="0"/>
          <w:sz w:val="20"/>
          <w:szCs w:val="20"/>
        </w:rPr>
        <w:t>；</w:t>
      </w:r>
    </w:p>
    <w:p>
      <w:pPr>
        <w:autoSpaceDE w:val="0"/>
        <w:autoSpaceDN w:val="0"/>
        <w:adjustRightInd w:val="0"/>
        <w:ind w:firstLine="420"/>
        <w:jc w:val="left"/>
        <w:rPr>
          <w:rFonts w:ascii="宋体" w:eastAsia="宋体" w:cs="宋体"/>
          <w:kern w:val="0"/>
          <w:sz w:val="20"/>
          <w:szCs w:val="20"/>
        </w:rPr>
      </w:pPr>
      <w:r>
        <w:rPr>
          <w:rFonts w:ascii="宋体" w:eastAsia="宋体" w:cs="宋体"/>
          <w:kern w:val="0"/>
          <w:sz w:val="20"/>
          <w:szCs w:val="20"/>
        </w:rPr>
        <w:t>2.甲方向乙方提供的任何资料、文件和信息，在乙方服务结束后，乙方均应及时归还甲方，电子文档的应从自己的电脑等存储设备上予永久删除</w:t>
      </w:r>
      <w:r>
        <w:rPr>
          <w:rFonts w:ascii="宋体" w:eastAsia="宋体" w:cs="宋体" w:hint="eastAsia"/>
          <w:kern w:val="0"/>
          <w:sz w:val="20"/>
          <w:szCs w:val="20"/>
        </w:rPr>
        <w:t>；</w:t>
      </w:r>
    </w:p>
    <w:p>
      <w:pPr>
        <w:autoSpaceDE w:val="0"/>
        <w:autoSpaceDN w:val="0"/>
        <w:adjustRightInd w:val="0"/>
        <w:ind w:firstLine="420"/>
        <w:jc w:val="left"/>
        <w:rPr>
          <w:rFonts w:ascii="宋体" w:eastAsia="宋体" w:cs="宋体"/>
          <w:kern w:val="0"/>
          <w:sz w:val="20"/>
          <w:szCs w:val="20"/>
        </w:rPr>
      </w:pPr>
      <w:r>
        <w:rPr>
          <w:rFonts w:ascii="宋体" w:eastAsia="宋体" w:cs="宋体"/>
          <w:kern w:val="0"/>
          <w:sz w:val="20"/>
          <w:szCs w:val="20"/>
        </w:rPr>
        <w:t>3.乙方人员违反上述保密规定时间，乙方应承担相应法律责任</w:t>
      </w:r>
      <w:r>
        <w:rPr>
          <w:rFonts w:ascii="宋体" w:eastAsia="宋体" w:cs="宋体" w:hint="eastAsia"/>
          <w:kern w:val="0"/>
          <w:sz w:val="20"/>
          <w:szCs w:val="20"/>
        </w:rPr>
        <w:t>；</w:t>
      </w:r>
    </w:p>
    <w:p>
      <w:pPr>
        <w:autoSpaceDE w:val="0"/>
        <w:autoSpaceDN w:val="0"/>
        <w:adjustRightInd w:val="0"/>
        <w:ind w:firstLine="420"/>
        <w:jc w:val="left"/>
        <w:rPr>
          <w:rFonts w:ascii="宋体" w:eastAsia="宋体" w:cs="宋体"/>
          <w:kern w:val="0"/>
          <w:sz w:val="20"/>
          <w:szCs w:val="20"/>
        </w:rPr>
      </w:pPr>
      <w:r>
        <w:rPr>
          <w:rFonts w:ascii="宋体" w:eastAsia="宋体" w:cs="宋体"/>
          <w:kern w:val="0"/>
          <w:sz w:val="20"/>
          <w:szCs w:val="20"/>
        </w:rPr>
        <w:t>4.以上1、2、3款在合同有效期结束后继续生效。</w:t>
      </w:r>
    </w:p>
    <w:p>
      <w:pPr>
        <w:pStyle w:val="15"/>
        <w:rPr>
          <w:sz w:val="20"/>
          <w:szCs w:val="20"/>
        </w:rPr>
      </w:pPr>
    </w:p>
    <w:p>
      <w:pPr>
        <w:pStyle w:val="15"/>
        <w:rPr>
          <w:sz w:val="20"/>
          <w:szCs w:val="20"/>
        </w:rPr>
      </w:pPr>
      <w:r>
        <w:rPr>
          <w:sz w:val="20"/>
          <w:szCs w:val="20"/>
        </w:rPr>
        <w:br/>
        <w:t>　　</w:t>
      </w:r>
      <w:r>
        <w:rPr>
          <w:b/>
          <w:bCs/>
          <w:sz w:val="20"/>
          <w:szCs w:val="20"/>
        </w:rPr>
        <w:t>有效期</w:t>
      </w:r>
      <w:r>
        <w:rPr>
          <w:sz w:val="20"/>
          <w:szCs w:val="20"/>
        </w:rPr>
        <w:br/>
        <w:br/>
        <w:t>　　本投资意向书在签署后90天内有效。如果相关方无法在规定的时限内进入投资相关文件起草，并且没有获得所有参与方的同意延长，该意向书将自动失效。</w:t>
        <w:br/>
        <w:br/>
        <w:br/>
        <w:t>　　</w:t>
      </w:r>
      <w:r>
        <w:rPr>
          <w:b/>
          <w:bCs/>
          <w:sz w:val="20"/>
          <w:szCs w:val="20"/>
        </w:rPr>
        <w:t>语言</w:t>
      </w:r>
      <w:r>
        <w:rPr>
          <w:sz w:val="20"/>
          <w:szCs w:val="20"/>
        </w:rPr>
        <w:br/>
        <w:br/>
        <w:t>　　所有协议必须采用中文进行书写和制定。</w:t>
        <w:br/>
        <w:br/>
      </w:r>
    </w:p>
    <w:p>
      <w:pPr>
        <w:pStyle w:val="15"/>
        <w:rPr>
          <w:sz w:val="20"/>
          <w:szCs w:val="20"/>
        </w:rPr>
      </w:pPr>
      <w:r>
        <w:rPr>
          <w:sz w:val="20"/>
          <w:szCs w:val="20"/>
        </w:rPr>
        <w:br/>
        <w:t>　　</w:t>
      </w:r>
      <w:r>
        <w:rPr>
          <w:b/>
          <w:bCs/>
          <w:sz w:val="20"/>
          <w:szCs w:val="20"/>
        </w:rPr>
        <w:t>无约束力（Non-binding）</w:t>
      </w:r>
      <w:r>
        <w:rPr>
          <w:sz w:val="20"/>
          <w:szCs w:val="20"/>
        </w:rPr>
        <w:br/>
        <w:br/>
        <w:t>　　本意向书包含的条款除了保密和排他性之外不具约束力。公司、乙方和投资人都无义务一定要进入公司股权投资相关的交易中。该义务仅在签署确定的法律文件后才生效。</w:t>
        <w:br/>
        <w:br/>
        <w:t>                                                         签字（甲方）                签字（乙方）</w:t>
        <w:br/>
        <w:br/>
        <w:t>                                                         日期：                      日期：</w:t>
        <w:br/>
        <w:br/>
        <w:t>　　附录一：总公司、子公司和关联企业的控股关系详细说明（略）</w:t>
        <w:br/>
        <w:br/>
        <w:t>　　附录二：详细投资款用途清单（略）</w:t>
        <w:br/>
        <w:br/>
        <w:t>　　附录三：公司的5年财务预测（略）</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华文新魏">
    <w:altName w:val="Microsoft YaHei UI"/>
    <w:panose1 w:val="00000000000000000000"/>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eastAsia="宋体" w:cs="宋体"/>
      <w:kern w:val="0"/>
      <w:sz w:val="24"/>
      <w:szCs w:val="24"/>
    </w:rPr>
  </w:style>
  <w:style w:type="character" w:styleId="16">
    <w:name w:val="Hyperlink"/>
    <w:basedOn w:val="10"/>
    <w:rPr>
      <w:color w:val="0000FF"/>
      <w:u w:val="single"/>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footer"/>
    <w:basedOn w:val="0"/>
    <w:pPr>
      <w:tabs>
        <w:tab w:val="center" w:pos="4153"/>
        <w:tab w:val="right" w:pos="8306"/>
      </w:tabs>
      <w:snapToGrid w:val="0"/>
      <w:jc w:val="left"/>
    </w:pPr>
    <w:rPr>
      <w:sz w:val="18"/>
      <w:szCs w:val="18"/>
    </w:rPr>
  </w:style>
  <w:style w:type="character" w:styleId="19">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394</TotalTime>
  <Application>Yozo_Office</Application>
  <Pages>12</Pages>
  <Words>6894</Words>
  <Characters>7665</Characters>
  <Lines>487</Lines>
  <Paragraphs>24</Paragraphs>
  <CharactersWithSpaces>8983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amar</dc:creator>
  <cp:lastModifiedBy>AutoBVT</cp:lastModifiedBy>
  <cp:revision>247</cp:revision>
  <dcterms:created xsi:type="dcterms:W3CDTF">2011-02-16T04:05:00Z</dcterms:created>
  <dcterms:modified xsi:type="dcterms:W3CDTF">2016-01-10T03:17:53Z</dcterms:modified>
</cp:coreProperties>
</file>